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47" w:rsidRDefault="00626503">
      <w:pPr>
        <w:snapToGrid w:val="0"/>
        <w:spacing w:line="578"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泸县人民检察院</w:t>
      </w:r>
    </w:p>
    <w:p w:rsidR="00287D47" w:rsidRDefault="00626503">
      <w:pPr>
        <w:snapToGrid w:val="0"/>
        <w:spacing w:line="578" w:lineRule="exact"/>
        <w:jc w:val="center"/>
        <w:rPr>
          <w:rFonts w:ascii="Times New Roman" w:eastAsia="方正小标宋_GBK" w:hAnsi="Times New Roman"/>
          <w:bCs/>
          <w:color w:val="000000"/>
          <w:kern w:val="0"/>
          <w:sz w:val="44"/>
          <w:szCs w:val="44"/>
        </w:rPr>
      </w:pPr>
      <w:r>
        <w:rPr>
          <w:rFonts w:ascii="方正小标宋简体" w:eastAsia="方正小标宋简体" w:hAnsi="方正小标宋简体" w:cs="方正小标宋简体" w:hint="eastAsia"/>
          <w:bCs/>
          <w:color w:val="000000"/>
          <w:kern w:val="0"/>
          <w:sz w:val="44"/>
          <w:szCs w:val="44"/>
        </w:rPr>
        <w:t>2020年部门预算支出绩效报告</w:t>
      </w:r>
    </w:p>
    <w:p w:rsidR="00287D47" w:rsidRDefault="00287D47">
      <w:pPr>
        <w:spacing w:line="578" w:lineRule="exact"/>
        <w:jc w:val="center"/>
        <w:rPr>
          <w:rFonts w:ascii="Times New Roman" w:hAnsi="Times New Roman"/>
          <w:bCs/>
          <w:sz w:val="28"/>
          <w:szCs w:val="28"/>
        </w:rPr>
      </w:pPr>
    </w:p>
    <w:p w:rsidR="00287D47" w:rsidRDefault="00626503">
      <w:pPr>
        <w:spacing w:line="560" w:lineRule="exact"/>
        <w:ind w:firstLineChars="196" w:firstLine="627"/>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一、部门（单位）概况</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（一）机构组成</w:t>
      </w:r>
    </w:p>
    <w:p w:rsidR="00287D47" w:rsidRDefault="00626503">
      <w:pPr>
        <w:snapToGrid w:val="0"/>
        <w:spacing w:line="520" w:lineRule="exact"/>
        <w:ind w:firstLineChars="200" w:firstLine="640"/>
        <w:rPr>
          <w:bCs/>
        </w:rPr>
      </w:pPr>
      <w:r>
        <w:rPr>
          <w:rFonts w:ascii="仿宋_GB2312" w:eastAsia="仿宋_GB2312" w:hAnsi="仿宋" w:hint="eastAsia"/>
          <w:bCs/>
          <w:sz w:val="32"/>
          <w:szCs w:val="32"/>
        </w:rPr>
        <w:t>泸县人民检察院属行政单位，有1个二级预算单位（泸县人民检察院信息管理中心），设有办公室、第一检察部、第二检察部、第三检察部、第四检察部、第五检察部、综合业务部、政治部和机关党委共9个部门，外派5个检察室，分别是：福集镇检察室、牛滩镇检察室、嘉明镇检察室、云龙镇检察室、兆雅镇检察室。</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（二）机构职能</w:t>
      </w:r>
    </w:p>
    <w:p w:rsidR="00287D47" w:rsidRDefault="00626503">
      <w:pPr>
        <w:tabs>
          <w:tab w:val="left" w:pos="720"/>
        </w:tabs>
        <w:spacing w:line="520" w:lineRule="exact"/>
        <w:ind w:firstLineChars="200" w:firstLine="640"/>
        <w:rPr>
          <w:bCs/>
        </w:rPr>
      </w:pPr>
      <w:r>
        <w:rPr>
          <w:rFonts w:ascii="仿宋_GB2312" w:eastAsia="仿宋_GB2312" w:hAnsi="仿宋" w:hint="eastAsia"/>
          <w:bCs/>
          <w:sz w:val="32"/>
          <w:szCs w:val="32"/>
        </w:rPr>
        <w:t>泸县人民检察院是国家的法律监督机关，主要职责是通过履行侦查、批准逮捕、审查起诉、支持公诉等法律监督职能，维护法律权威和当事人的合法权益。</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（三）人员概况</w:t>
      </w:r>
    </w:p>
    <w:p w:rsidR="00287D47" w:rsidRDefault="00626503">
      <w:pPr>
        <w:snapToGrid w:val="0"/>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泸县人民检察院核定总编制73名，其中行政编制56名，事业编制7名，工勤编制10名。</w:t>
      </w:r>
    </w:p>
    <w:p w:rsidR="00287D47" w:rsidRDefault="00626503">
      <w:pPr>
        <w:snapToGrid w:val="0"/>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2020年末在编在职人员总数65人，其中行政人员51人，事业人员6人，行政工勤人员8人；临聘人员9人；遗属1人。</w:t>
      </w:r>
    </w:p>
    <w:p w:rsidR="00287D47" w:rsidRDefault="00626503">
      <w:pPr>
        <w:spacing w:line="560" w:lineRule="exact"/>
        <w:ind w:firstLineChars="196" w:firstLine="627"/>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二、部门财政资金收支情况</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（一）部门财政资金收入情况</w:t>
      </w:r>
    </w:p>
    <w:p w:rsidR="00287D47" w:rsidRDefault="00626503">
      <w:pPr>
        <w:snapToGrid w:val="0"/>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2020年预算严格按照相关文件进行合理预算，年初预算1354.02万元，主要分为基本支出956.02万元和项目支出398万元。基本支出中人员经费733.92万元，公用经费222.1</w:t>
      </w:r>
      <w:r>
        <w:rPr>
          <w:rFonts w:ascii="仿宋_GB2312" w:eastAsia="仿宋_GB2312" w:hAnsi="仿宋" w:hint="eastAsia"/>
          <w:bCs/>
          <w:sz w:val="32"/>
          <w:szCs w:val="32"/>
        </w:rPr>
        <w:lastRenderedPageBreak/>
        <w:t>万元，行政事业类项目398万元。2020年中，追加行政事业类项目242.56万元。</w:t>
      </w:r>
    </w:p>
    <w:p w:rsidR="00287D47" w:rsidRDefault="00626503">
      <w:pPr>
        <w:snapToGrid w:val="0"/>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2020年决算财政拨款收入1535.76万元，年初结转644.26万元，合计收入2180.02万元。其中，人员经费1387.56万元，公用经费151.9万元，行政事业类项目经费640.56万元。</w:t>
      </w:r>
    </w:p>
    <w:tbl>
      <w:tblPr>
        <w:tblW w:w="7655" w:type="dxa"/>
        <w:tblInd w:w="490" w:type="dxa"/>
        <w:tblLayout w:type="fixed"/>
        <w:tblCellMar>
          <w:left w:w="0" w:type="dxa"/>
          <w:right w:w="0" w:type="dxa"/>
        </w:tblCellMar>
        <w:tblLook w:val="04A0"/>
      </w:tblPr>
      <w:tblGrid>
        <w:gridCol w:w="1196"/>
        <w:gridCol w:w="4595"/>
        <w:gridCol w:w="1864"/>
      </w:tblGrid>
      <w:tr w:rsidR="00287D47">
        <w:trPr>
          <w:trHeight w:val="585"/>
        </w:trPr>
        <w:tc>
          <w:tcPr>
            <w:tcW w:w="7655" w:type="dxa"/>
            <w:gridSpan w:val="3"/>
            <w:tcBorders>
              <w:top w:val="nil"/>
              <w:left w:val="nil"/>
              <w:bottom w:val="nil"/>
              <w:right w:val="nil"/>
            </w:tcBorders>
            <w:tcMar>
              <w:top w:w="15" w:type="dxa"/>
              <w:left w:w="15" w:type="dxa"/>
              <w:right w:w="15" w:type="dxa"/>
            </w:tcMar>
            <w:vAlign w:val="bottom"/>
          </w:tcPr>
          <w:p w:rsidR="00287D47" w:rsidRDefault="00287D47">
            <w:pPr>
              <w:widowControl/>
              <w:jc w:val="center"/>
              <w:textAlignment w:val="bottom"/>
              <w:rPr>
                <w:rFonts w:ascii="Arial" w:hAnsi="Arial" w:cs="Arial"/>
                <w:bCs/>
                <w:color w:val="000000"/>
                <w:kern w:val="0"/>
                <w:szCs w:val="32"/>
              </w:rPr>
            </w:pPr>
          </w:p>
          <w:p w:rsidR="00287D47" w:rsidRDefault="00626503">
            <w:pPr>
              <w:widowControl/>
              <w:jc w:val="center"/>
              <w:textAlignment w:val="bottom"/>
              <w:rPr>
                <w:rFonts w:ascii="楷体_GB2312" w:eastAsia="楷体_GB2312" w:hAnsi="宋体" w:cs="宋体"/>
                <w:bCs/>
                <w:color w:val="000000"/>
                <w:sz w:val="32"/>
                <w:szCs w:val="32"/>
              </w:rPr>
            </w:pPr>
            <w:r>
              <w:rPr>
                <w:rFonts w:ascii="楷体_GB2312" w:eastAsia="楷体_GB2312" w:hAnsi="Arial" w:cs="Arial" w:hint="eastAsia"/>
                <w:bCs/>
                <w:color w:val="000000"/>
                <w:kern w:val="0"/>
                <w:sz w:val="32"/>
                <w:szCs w:val="32"/>
              </w:rPr>
              <w:t>2020</w:t>
            </w:r>
            <w:r>
              <w:rPr>
                <w:rStyle w:val="font61"/>
                <w:rFonts w:ascii="楷体_GB2312" w:eastAsia="楷体_GB2312" w:hint="default"/>
                <w:bCs/>
              </w:rPr>
              <w:t>年财政资金收入情况表</w:t>
            </w:r>
          </w:p>
        </w:tc>
      </w:tr>
      <w:tr w:rsidR="00287D47">
        <w:trPr>
          <w:trHeight w:val="454"/>
        </w:trPr>
        <w:tc>
          <w:tcPr>
            <w:tcW w:w="7655" w:type="dxa"/>
            <w:gridSpan w:val="3"/>
            <w:tcBorders>
              <w:top w:val="nil"/>
              <w:left w:val="nil"/>
              <w:bottom w:val="nil"/>
              <w:right w:val="nil"/>
            </w:tcBorders>
            <w:tcMar>
              <w:top w:w="15" w:type="dxa"/>
              <w:left w:w="15" w:type="dxa"/>
              <w:right w:w="15" w:type="dxa"/>
            </w:tcMar>
            <w:vAlign w:val="bottom"/>
          </w:tcPr>
          <w:p w:rsidR="00287D47" w:rsidRDefault="00626503">
            <w:pPr>
              <w:widowControl/>
              <w:jc w:val="left"/>
              <w:textAlignment w:val="bottom"/>
              <w:rPr>
                <w:rFonts w:ascii="宋体" w:hAnsi="宋体" w:cs="宋体"/>
                <w:bCs/>
                <w:color w:val="000000"/>
                <w:kern w:val="0"/>
                <w:sz w:val="24"/>
              </w:rPr>
            </w:pPr>
            <w:r>
              <w:rPr>
                <w:rFonts w:ascii="宋体" w:hAnsi="宋体" w:cs="宋体" w:hint="eastAsia"/>
                <w:bCs/>
                <w:color w:val="000000"/>
                <w:kern w:val="0"/>
                <w:sz w:val="24"/>
              </w:rPr>
              <w:t>编制单位：四川省泸州市泸县人民检察院（本级）</w:t>
            </w:r>
          </w:p>
          <w:p w:rsidR="00287D47" w:rsidRDefault="00287D47">
            <w:pPr>
              <w:pStyle w:val="a3"/>
              <w:rPr>
                <w:bCs/>
              </w:rPr>
            </w:pPr>
          </w:p>
        </w:tc>
      </w:tr>
      <w:tr w:rsidR="00287D47">
        <w:trPr>
          <w:trHeight w:val="454"/>
        </w:trPr>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项目</w:t>
            </w:r>
          </w:p>
        </w:tc>
        <w:tc>
          <w:tcPr>
            <w:tcW w:w="1864" w:type="dxa"/>
            <w:vMerge w:val="restart"/>
            <w:tcBorders>
              <w:top w:val="single" w:sz="4" w:space="0" w:color="000000"/>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本年收入（万元）</w:t>
            </w:r>
          </w:p>
        </w:tc>
      </w:tr>
      <w:tr w:rsidR="00287D47">
        <w:trPr>
          <w:trHeight w:val="454"/>
        </w:trPr>
        <w:tc>
          <w:tcPr>
            <w:tcW w:w="1196" w:type="dxa"/>
            <w:vMerge w:val="restart"/>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支出功能分类科目编码</w:t>
            </w:r>
          </w:p>
        </w:tc>
        <w:tc>
          <w:tcPr>
            <w:tcW w:w="4595" w:type="dxa"/>
            <w:vMerge w:val="restart"/>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科目名称</w:t>
            </w:r>
          </w:p>
        </w:tc>
        <w:tc>
          <w:tcPr>
            <w:tcW w:w="1864" w:type="dxa"/>
            <w:vMerge/>
            <w:tcBorders>
              <w:top w:val="single" w:sz="4" w:space="0" w:color="000000"/>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r>
      <w:tr w:rsidR="00287D47">
        <w:trPr>
          <w:trHeight w:val="454"/>
        </w:trPr>
        <w:tc>
          <w:tcPr>
            <w:tcW w:w="1196" w:type="dxa"/>
            <w:vMerge/>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c>
          <w:tcPr>
            <w:tcW w:w="4595" w:type="dxa"/>
            <w:vMerge/>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c>
          <w:tcPr>
            <w:tcW w:w="1864" w:type="dxa"/>
            <w:vMerge/>
            <w:tcBorders>
              <w:top w:val="single" w:sz="4" w:space="0" w:color="000000"/>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r>
      <w:tr w:rsidR="00287D47">
        <w:trPr>
          <w:trHeight w:val="454"/>
        </w:trPr>
        <w:tc>
          <w:tcPr>
            <w:tcW w:w="1196" w:type="dxa"/>
            <w:vMerge/>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c>
          <w:tcPr>
            <w:tcW w:w="4595" w:type="dxa"/>
            <w:vMerge/>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c>
          <w:tcPr>
            <w:tcW w:w="1864" w:type="dxa"/>
            <w:vMerge/>
            <w:tcBorders>
              <w:top w:val="single" w:sz="4" w:space="0" w:color="000000"/>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r>
      <w:tr w:rsidR="00287D47">
        <w:trPr>
          <w:trHeight w:val="454"/>
        </w:trPr>
        <w:tc>
          <w:tcPr>
            <w:tcW w:w="1196"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类款项</w:t>
            </w:r>
          </w:p>
        </w:tc>
        <w:tc>
          <w:tcPr>
            <w:tcW w:w="4595"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栏次</w:t>
            </w:r>
          </w:p>
        </w:tc>
        <w:tc>
          <w:tcPr>
            <w:tcW w:w="1864"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5</w:t>
            </w:r>
          </w:p>
        </w:tc>
      </w:tr>
      <w:tr w:rsidR="00287D47">
        <w:trPr>
          <w:trHeight w:val="454"/>
        </w:trPr>
        <w:tc>
          <w:tcPr>
            <w:tcW w:w="1196"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c>
          <w:tcPr>
            <w:tcW w:w="4595"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合计</w:t>
            </w:r>
          </w:p>
        </w:tc>
        <w:tc>
          <w:tcPr>
            <w:tcW w:w="1864"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sz w:val="22"/>
              </w:rPr>
              <w:t>1535.76</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2040401</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行政运行</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cs="宋体"/>
                <w:bCs/>
                <w:color w:val="000000"/>
                <w:sz w:val="24"/>
              </w:rPr>
            </w:pPr>
            <w:r>
              <w:rPr>
                <w:rFonts w:asciiTheme="minorEastAsia" w:hAnsiTheme="minorEastAsia" w:hint="eastAsia"/>
                <w:bCs/>
                <w:sz w:val="24"/>
              </w:rPr>
              <w:t>816.24</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2040450</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事业运行</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bCs/>
                <w:sz w:val="24"/>
              </w:rPr>
            </w:pPr>
            <w:r>
              <w:rPr>
                <w:rFonts w:asciiTheme="minorEastAsia" w:hAnsiTheme="minorEastAsia" w:hint="eastAsia"/>
                <w:bCs/>
                <w:sz w:val="24"/>
              </w:rPr>
              <w:t>40.4</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2040402</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一般行政管理事务</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cs="宋体"/>
                <w:bCs/>
                <w:color w:val="000000"/>
                <w:sz w:val="24"/>
              </w:rPr>
            </w:pPr>
            <w:r>
              <w:rPr>
                <w:rFonts w:asciiTheme="minorEastAsia" w:hAnsiTheme="minorEastAsia" w:hint="eastAsia"/>
                <w:bCs/>
                <w:sz w:val="24"/>
              </w:rPr>
              <w:t>138.24</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2040409</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“两房建设”</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cs="宋体"/>
                <w:bCs/>
                <w:color w:val="000000"/>
                <w:sz w:val="24"/>
              </w:rPr>
            </w:pPr>
            <w:r>
              <w:rPr>
                <w:rFonts w:asciiTheme="minorEastAsia" w:hAnsiTheme="minorEastAsia" w:hint="eastAsia"/>
                <w:bCs/>
                <w:sz w:val="24"/>
              </w:rPr>
              <w:t>38.76</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2040410</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检察监督</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cs="宋体"/>
                <w:bCs/>
                <w:color w:val="000000"/>
                <w:sz w:val="24"/>
              </w:rPr>
            </w:pPr>
            <w:r>
              <w:rPr>
                <w:rFonts w:asciiTheme="minorEastAsia" w:hAnsiTheme="minorEastAsia" w:hint="eastAsia"/>
                <w:bCs/>
                <w:sz w:val="24"/>
              </w:rPr>
              <w:t>288.23</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hint="eastAsia"/>
                <w:bCs/>
                <w:sz w:val="24"/>
              </w:rPr>
              <w:t>2040499</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hint="eastAsia"/>
                <w:bCs/>
                <w:sz w:val="24"/>
              </w:rPr>
              <w:t>其他检察支出</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bCs/>
                <w:sz w:val="24"/>
              </w:rPr>
            </w:pPr>
            <w:r>
              <w:rPr>
                <w:rFonts w:asciiTheme="minorEastAsia" w:hAnsiTheme="minorEastAsia" w:hint="eastAsia"/>
                <w:bCs/>
                <w:sz w:val="24"/>
              </w:rPr>
              <w:t>26.95</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2080505</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 xml:space="preserve">  机关事业单位基本养老保险缴费支出</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hint="eastAsia"/>
                <w:bCs/>
                <w:sz w:val="24"/>
              </w:rPr>
              <w:t>75.59</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sz w:val="24"/>
              </w:rPr>
              <w:t>2080506</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宋体" w:hAnsi="宋体" w:cs="宋体"/>
                <w:bCs/>
                <w:color w:val="000000"/>
                <w:sz w:val="24"/>
              </w:rPr>
            </w:pPr>
            <w:r>
              <w:rPr>
                <w:rFonts w:ascii="宋体" w:hAnsi="宋体" w:cs="宋体" w:hint="eastAsia"/>
                <w:bCs/>
                <w:color w:val="000000"/>
                <w:sz w:val="24"/>
              </w:rPr>
              <w:t>机关事业单位职业年金缴费支出</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hint="eastAsia"/>
                <w:bCs/>
                <w:sz w:val="24"/>
              </w:rPr>
              <w:t>5.63</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hint="eastAsia"/>
                <w:bCs/>
                <w:sz w:val="24"/>
              </w:rPr>
              <w:t>2080599</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宋体" w:hAnsi="宋体" w:cs="宋体"/>
                <w:bCs/>
                <w:color w:val="000000"/>
                <w:sz w:val="24"/>
              </w:rPr>
            </w:pPr>
            <w:r>
              <w:rPr>
                <w:rFonts w:ascii="宋体" w:hAnsi="宋体" w:hint="eastAsia"/>
                <w:bCs/>
                <w:sz w:val="24"/>
              </w:rPr>
              <w:t>其他行政事业单位养老支出</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bCs/>
                <w:sz w:val="24"/>
              </w:rPr>
            </w:pPr>
            <w:r>
              <w:rPr>
                <w:rFonts w:ascii="宋体" w:hAnsi="宋体" w:hint="eastAsia"/>
                <w:bCs/>
                <w:sz w:val="24"/>
              </w:rPr>
              <w:t>3.47</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sz w:val="24"/>
              </w:rPr>
              <w:t>2080801</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sz w:val="24"/>
              </w:rPr>
              <w:t xml:space="preserve">  死亡抚恤</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cs="宋体" w:hint="eastAsia"/>
                <w:bCs/>
                <w:color w:val="000000"/>
                <w:sz w:val="24"/>
              </w:rPr>
              <w:t>0.84</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2101101</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 xml:space="preserve">  行政单位医疗</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hint="eastAsia"/>
                <w:bCs/>
                <w:sz w:val="24"/>
              </w:rPr>
              <w:t>36.15</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2101102</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 xml:space="preserve">  事业单位医疗</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hint="eastAsia"/>
                <w:bCs/>
                <w:sz w:val="24"/>
              </w:rPr>
              <w:t>8.56</w:t>
            </w:r>
          </w:p>
        </w:tc>
      </w:tr>
      <w:tr w:rsidR="00287D47">
        <w:trPr>
          <w:trHeight w:val="454"/>
        </w:trPr>
        <w:tc>
          <w:tcPr>
            <w:tcW w:w="1196" w:type="dxa"/>
            <w:tcBorders>
              <w:top w:val="nil"/>
              <w:left w:val="single" w:sz="4" w:space="0" w:color="000000"/>
              <w:bottom w:val="single" w:sz="8"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2210201</w:t>
            </w:r>
          </w:p>
        </w:tc>
        <w:tc>
          <w:tcPr>
            <w:tcW w:w="4595" w:type="dxa"/>
            <w:tcBorders>
              <w:top w:val="nil"/>
              <w:left w:val="nil"/>
              <w:bottom w:val="single" w:sz="8"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 xml:space="preserve">  住房公积金</w:t>
            </w:r>
          </w:p>
        </w:tc>
        <w:tc>
          <w:tcPr>
            <w:tcW w:w="1864" w:type="dxa"/>
            <w:tcBorders>
              <w:top w:val="nil"/>
              <w:left w:val="nil"/>
              <w:bottom w:val="single" w:sz="8"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hint="eastAsia"/>
                <w:bCs/>
                <w:sz w:val="24"/>
              </w:rPr>
              <w:t>56.7</w:t>
            </w:r>
          </w:p>
        </w:tc>
      </w:tr>
    </w:tbl>
    <w:p w:rsidR="00287D47" w:rsidRDefault="00287D47">
      <w:pPr>
        <w:pStyle w:val="a3"/>
        <w:rPr>
          <w:bCs/>
        </w:rPr>
      </w:pPr>
    </w:p>
    <w:p w:rsidR="00287D47" w:rsidRDefault="00287D47">
      <w:pPr>
        <w:pStyle w:val="a3"/>
        <w:rPr>
          <w:bCs/>
        </w:rPr>
      </w:pP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（二）部门财政资金支出情况</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年支出决算数</w:t>
      </w:r>
      <w:r>
        <w:rPr>
          <w:rFonts w:ascii="Times New Roman" w:eastAsia="仿宋_GB2312" w:hAnsi="Times New Roman" w:hint="eastAsia"/>
          <w:bCs/>
          <w:sz w:val="32"/>
          <w:szCs w:val="32"/>
        </w:rPr>
        <w:t>2067.75</w:t>
      </w:r>
      <w:r>
        <w:rPr>
          <w:rFonts w:ascii="Times New Roman" w:eastAsia="仿宋_GB2312" w:hAnsi="Times New Roman" w:hint="eastAsia"/>
          <w:bCs/>
          <w:sz w:val="32"/>
          <w:szCs w:val="32"/>
        </w:rPr>
        <w:t>万元，其中，基本支出</w:t>
      </w:r>
      <w:r>
        <w:rPr>
          <w:rFonts w:ascii="Times New Roman" w:eastAsia="仿宋_GB2312" w:hAnsi="Times New Roman" w:hint="eastAsia"/>
          <w:bCs/>
          <w:sz w:val="32"/>
          <w:szCs w:val="32"/>
        </w:rPr>
        <w:t>1539.46</w:t>
      </w:r>
      <w:r>
        <w:rPr>
          <w:rFonts w:ascii="Times New Roman" w:eastAsia="仿宋_GB2312" w:hAnsi="Times New Roman" w:hint="eastAsia"/>
          <w:bCs/>
          <w:sz w:val="32"/>
          <w:szCs w:val="32"/>
        </w:rPr>
        <w:t>万元（人员支出</w:t>
      </w:r>
      <w:r>
        <w:rPr>
          <w:rFonts w:ascii="Times New Roman" w:eastAsia="仿宋_GB2312" w:hAnsi="Times New Roman" w:hint="eastAsia"/>
          <w:bCs/>
          <w:sz w:val="32"/>
          <w:szCs w:val="32"/>
        </w:rPr>
        <w:t>1387.56</w:t>
      </w:r>
      <w:r>
        <w:rPr>
          <w:rFonts w:ascii="Times New Roman" w:eastAsia="仿宋_GB2312" w:hAnsi="Times New Roman" w:hint="eastAsia"/>
          <w:bCs/>
          <w:sz w:val="32"/>
          <w:szCs w:val="32"/>
        </w:rPr>
        <w:t>万元，日常公用经费</w:t>
      </w:r>
      <w:r>
        <w:rPr>
          <w:rFonts w:ascii="Times New Roman" w:eastAsia="仿宋_GB2312" w:hAnsi="Times New Roman" w:hint="eastAsia"/>
          <w:bCs/>
          <w:sz w:val="32"/>
          <w:szCs w:val="32"/>
        </w:rPr>
        <w:t>151.9</w:t>
      </w:r>
      <w:r>
        <w:rPr>
          <w:rFonts w:ascii="Times New Roman" w:eastAsia="仿宋_GB2312" w:hAnsi="Times New Roman" w:hint="eastAsia"/>
          <w:bCs/>
          <w:sz w:val="32"/>
          <w:szCs w:val="32"/>
        </w:rPr>
        <w:t>万元），项目支出</w:t>
      </w:r>
      <w:r>
        <w:rPr>
          <w:rFonts w:ascii="Times New Roman" w:eastAsia="仿宋_GB2312" w:hAnsi="Times New Roman" w:hint="eastAsia"/>
          <w:bCs/>
          <w:sz w:val="32"/>
          <w:szCs w:val="32"/>
        </w:rPr>
        <w:t>528.29</w:t>
      </w:r>
      <w:r>
        <w:rPr>
          <w:rFonts w:ascii="Times New Roman" w:eastAsia="仿宋_GB2312" w:hAnsi="Times New Roman" w:hint="eastAsia"/>
          <w:bCs/>
          <w:sz w:val="32"/>
          <w:szCs w:val="32"/>
        </w:rPr>
        <w:t>万元。</w:t>
      </w:r>
    </w:p>
    <w:tbl>
      <w:tblPr>
        <w:tblW w:w="7655" w:type="dxa"/>
        <w:tblInd w:w="490" w:type="dxa"/>
        <w:tblLayout w:type="fixed"/>
        <w:tblCellMar>
          <w:left w:w="0" w:type="dxa"/>
          <w:right w:w="0" w:type="dxa"/>
        </w:tblCellMar>
        <w:tblLook w:val="04A0"/>
      </w:tblPr>
      <w:tblGrid>
        <w:gridCol w:w="1196"/>
        <w:gridCol w:w="4595"/>
        <w:gridCol w:w="1864"/>
      </w:tblGrid>
      <w:tr w:rsidR="00287D47">
        <w:trPr>
          <w:trHeight w:val="585"/>
        </w:trPr>
        <w:tc>
          <w:tcPr>
            <w:tcW w:w="7655" w:type="dxa"/>
            <w:gridSpan w:val="3"/>
            <w:tcBorders>
              <w:top w:val="nil"/>
              <w:left w:val="nil"/>
              <w:bottom w:val="nil"/>
              <w:right w:val="nil"/>
            </w:tcBorders>
            <w:tcMar>
              <w:top w:w="15" w:type="dxa"/>
              <w:left w:w="15" w:type="dxa"/>
              <w:right w:w="15" w:type="dxa"/>
            </w:tcMar>
            <w:vAlign w:val="bottom"/>
          </w:tcPr>
          <w:p w:rsidR="00287D47" w:rsidRDefault="00287D47">
            <w:pPr>
              <w:widowControl/>
              <w:jc w:val="center"/>
              <w:textAlignment w:val="bottom"/>
              <w:rPr>
                <w:rFonts w:ascii="Arial" w:hAnsi="Arial" w:cs="Arial"/>
                <w:bCs/>
                <w:color w:val="000000"/>
                <w:kern w:val="0"/>
                <w:szCs w:val="32"/>
              </w:rPr>
            </w:pPr>
          </w:p>
          <w:p w:rsidR="00287D47" w:rsidRDefault="00626503">
            <w:pPr>
              <w:widowControl/>
              <w:jc w:val="center"/>
              <w:textAlignment w:val="bottom"/>
              <w:rPr>
                <w:rFonts w:ascii="楷体_GB2312" w:eastAsia="楷体_GB2312" w:hAnsi="宋体" w:cs="宋体"/>
                <w:bCs/>
                <w:color w:val="000000"/>
                <w:sz w:val="32"/>
                <w:szCs w:val="32"/>
              </w:rPr>
            </w:pPr>
            <w:r>
              <w:rPr>
                <w:rFonts w:ascii="楷体_GB2312" w:eastAsia="楷体_GB2312" w:hAnsi="Arial" w:cs="Arial" w:hint="eastAsia"/>
                <w:bCs/>
                <w:color w:val="000000"/>
                <w:kern w:val="0"/>
                <w:sz w:val="32"/>
                <w:szCs w:val="32"/>
              </w:rPr>
              <w:t>2020</w:t>
            </w:r>
            <w:r>
              <w:rPr>
                <w:rStyle w:val="font61"/>
                <w:rFonts w:ascii="楷体_GB2312" w:eastAsia="楷体_GB2312" w:hint="default"/>
                <w:bCs/>
              </w:rPr>
              <w:t>年财政资金支出情况表</w:t>
            </w:r>
          </w:p>
        </w:tc>
      </w:tr>
      <w:tr w:rsidR="00287D47">
        <w:trPr>
          <w:trHeight w:val="454"/>
        </w:trPr>
        <w:tc>
          <w:tcPr>
            <w:tcW w:w="7655" w:type="dxa"/>
            <w:gridSpan w:val="3"/>
            <w:tcBorders>
              <w:top w:val="nil"/>
              <w:left w:val="nil"/>
              <w:bottom w:val="nil"/>
              <w:right w:val="nil"/>
            </w:tcBorders>
            <w:tcMar>
              <w:top w:w="15" w:type="dxa"/>
              <w:left w:w="15" w:type="dxa"/>
              <w:right w:w="15" w:type="dxa"/>
            </w:tcMar>
            <w:vAlign w:val="bottom"/>
          </w:tcPr>
          <w:p w:rsidR="00287D47" w:rsidRDefault="00626503">
            <w:pPr>
              <w:widowControl/>
              <w:jc w:val="left"/>
              <w:textAlignment w:val="bottom"/>
              <w:rPr>
                <w:rFonts w:ascii="宋体" w:hAnsi="宋体" w:cs="宋体"/>
                <w:bCs/>
                <w:color w:val="000000"/>
                <w:kern w:val="0"/>
                <w:sz w:val="24"/>
              </w:rPr>
            </w:pPr>
            <w:r>
              <w:rPr>
                <w:rFonts w:ascii="宋体" w:hAnsi="宋体" w:cs="宋体" w:hint="eastAsia"/>
                <w:bCs/>
                <w:color w:val="000000"/>
                <w:kern w:val="0"/>
                <w:sz w:val="24"/>
              </w:rPr>
              <w:t>编制单位：四川省泸州市泸县人民检察院（本级）</w:t>
            </w:r>
          </w:p>
          <w:p w:rsidR="00287D47" w:rsidRDefault="00287D47">
            <w:pPr>
              <w:pStyle w:val="a3"/>
              <w:rPr>
                <w:bCs/>
              </w:rPr>
            </w:pPr>
          </w:p>
        </w:tc>
      </w:tr>
      <w:tr w:rsidR="00287D47">
        <w:trPr>
          <w:trHeight w:val="454"/>
        </w:trPr>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项目</w:t>
            </w:r>
          </w:p>
        </w:tc>
        <w:tc>
          <w:tcPr>
            <w:tcW w:w="1864" w:type="dxa"/>
            <w:vMerge w:val="restart"/>
            <w:tcBorders>
              <w:top w:val="single" w:sz="4" w:space="0" w:color="000000"/>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本年支出（万元）</w:t>
            </w:r>
          </w:p>
        </w:tc>
      </w:tr>
      <w:tr w:rsidR="00287D47">
        <w:trPr>
          <w:trHeight w:val="454"/>
        </w:trPr>
        <w:tc>
          <w:tcPr>
            <w:tcW w:w="1196" w:type="dxa"/>
            <w:vMerge w:val="restart"/>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支出功能分类科目编码</w:t>
            </w:r>
          </w:p>
        </w:tc>
        <w:tc>
          <w:tcPr>
            <w:tcW w:w="4595" w:type="dxa"/>
            <w:vMerge w:val="restart"/>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科目名称</w:t>
            </w:r>
          </w:p>
        </w:tc>
        <w:tc>
          <w:tcPr>
            <w:tcW w:w="1864" w:type="dxa"/>
            <w:vMerge/>
            <w:tcBorders>
              <w:top w:val="single" w:sz="4" w:space="0" w:color="000000"/>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r>
      <w:tr w:rsidR="00287D47">
        <w:trPr>
          <w:trHeight w:val="454"/>
        </w:trPr>
        <w:tc>
          <w:tcPr>
            <w:tcW w:w="1196" w:type="dxa"/>
            <w:vMerge/>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c>
          <w:tcPr>
            <w:tcW w:w="4595" w:type="dxa"/>
            <w:vMerge/>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c>
          <w:tcPr>
            <w:tcW w:w="1864" w:type="dxa"/>
            <w:vMerge/>
            <w:tcBorders>
              <w:top w:val="single" w:sz="4" w:space="0" w:color="000000"/>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r>
      <w:tr w:rsidR="00287D47">
        <w:trPr>
          <w:trHeight w:val="454"/>
        </w:trPr>
        <w:tc>
          <w:tcPr>
            <w:tcW w:w="1196" w:type="dxa"/>
            <w:vMerge/>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c>
          <w:tcPr>
            <w:tcW w:w="4595" w:type="dxa"/>
            <w:vMerge/>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c>
          <w:tcPr>
            <w:tcW w:w="1864" w:type="dxa"/>
            <w:vMerge/>
            <w:tcBorders>
              <w:top w:val="single" w:sz="4" w:space="0" w:color="000000"/>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r>
      <w:tr w:rsidR="00287D47">
        <w:trPr>
          <w:trHeight w:val="454"/>
        </w:trPr>
        <w:tc>
          <w:tcPr>
            <w:tcW w:w="1196"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类款项</w:t>
            </w:r>
          </w:p>
        </w:tc>
        <w:tc>
          <w:tcPr>
            <w:tcW w:w="4595"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栏次</w:t>
            </w:r>
          </w:p>
        </w:tc>
        <w:tc>
          <w:tcPr>
            <w:tcW w:w="1864"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5</w:t>
            </w:r>
          </w:p>
        </w:tc>
      </w:tr>
      <w:tr w:rsidR="00287D47">
        <w:trPr>
          <w:trHeight w:val="454"/>
        </w:trPr>
        <w:tc>
          <w:tcPr>
            <w:tcW w:w="1196"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87D47" w:rsidRDefault="00287D47">
            <w:pPr>
              <w:jc w:val="center"/>
              <w:rPr>
                <w:rFonts w:ascii="宋体" w:hAnsi="宋体" w:cs="宋体"/>
                <w:bCs/>
                <w:color w:val="000000"/>
                <w:sz w:val="22"/>
              </w:rPr>
            </w:pPr>
          </w:p>
        </w:tc>
        <w:tc>
          <w:tcPr>
            <w:tcW w:w="4595"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kern w:val="0"/>
                <w:sz w:val="22"/>
              </w:rPr>
              <w:t>合计</w:t>
            </w:r>
          </w:p>
        </w:tc>
        <w:tc>
          <w:tcPr>
            <w:tcW w:w="1864"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2"/>
              </w:rPr>
            </w:pPr>
            <w:r>
              <w:rPr>
                <w:rFonts w:ascii="宋体" w:hAnsi="宋体" w:cs="宋体" w:hint="eastAsia"/>
                <w:bCs/>
                <w:color w:val="000000"/>
                <w:sz w:val="22"/>
              </w:rPr>
              <w:t>2067.75</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2040401</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行政运行</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cs="宋体"/>
                <w:bCs/>
                <w:color w:val="000000"/>
                <w:sz w:val="24"/>
              </w:rPr>
            </w:pPr>
            <w:r>
              <w:rPr>
                <w:rFonts w:asciiTheme="minorEastAsia" w:hAnsiTheme="minorEastAsia" w:hint="eastAsia"/>
                <w:bCs/>
                <w:sz w:val="24"/>
              </w:rPr>
              <w:t>1312.12</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2040450</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事业运行</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bCs/>
                <w:sz w:val="24"/>
              </w:rPr>
            </w:pPr>
            <w:r>
              <w:rPr>
                <w:rFonts w:asciiTheme="minorEastAsia" w:hAnsiTheme="minorEastAsia" w:hint="eastAsia"/>
                <w:bCs/>
                <w:sz w:val="24"/>
              </w:rPr>
              <w:t>40.4</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2040402</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一般行政管理事务</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cs="宋体"/>
                <w:bCs/>
                <w:color w:val="000000"/>
                <w:sz w:val="24"/>
              </w:rPr>
            </w:pPr>
            <w:r>
              <w:rPr>
                <w:rFonts w:asciiTheme="minorEastAsia" w:hAnsiTheme="minorEastAsia" w:hint="eastAsia"/>
                <w:bCs/>
                <w:sz w:val="24"/>
              </w:rPr>
              <w:t>183.19</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2040409</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“两房建设”</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cs="宋体"/>
                <w:bCs/>
                <w:color w:val="000000"/>
                <w:sz w:val="24"/>
              </w:rPr>
            </w:pPr>
            <w:r>
              <w:rPr>
                <w:rFonts w:asciiTheme="minorEastAsia" w:hAnsiTheme="minorEastAsia" w:hint="eastAsia"/>
                <w:bCs/>
                <w:sz w:val="24"/>
              </w:rPr>
              <w:t>29.92</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2040410</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cs="宋体" w:hint="eastAsia"/>
                <w:bCs/>
                <w:color w:val="000000"/>
                <w:sz w:val="24"/>
              </w:rPr>
              <w:t>检察监督</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cs="宋体"/>
                <w:bCs/>
                <w:color w:val="000000"/>
                <w:sz w:val="24"/>
              </w:rPr>
            </w:pPr>
            <w:r>
              <w:rPr>
                <w:rFonts w:asciiTheme="minorEastAsia" w:hAnsiTheme="minorEastAsia" w:hint="eastAsia"/>
                <w:bCs/>
                <w:sz w:val="24"/>
              </w:rPr>
              <w:t>288.23</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Theme="minorEastAsia" w:hAnsiTheme="minorEastAsia" w:cs="宋体"/>
                <w:bCs/>
                <w:color w:val="000000"/>
                <w:sz w:val="24"/>
              </w:rPr>
            </w:pPr>
            <w:r>
              <w:rPr>
                <w:rFonts w:asciiTheme="minorEastAsia" w:hAnsiTheme="minorEastAsia" w:hint="eastAsia"/>
                <w:bCs/>
                <w:sz w:val="24"/>
              </w:rPr>
              <w:t>2040499</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Theme="minorEastAsia" w:hAnsiTheme="minorEastAsia" w:cs="宋体"/>
                <w:bCs/>
                <w:color w:val="000000"/>
                <w:sz w:val="24"/>
              </w:rPr>
            </w:pPr>
            <w:r>
              <w:rPr>
                <w:rFonts w:asciiTheme="minorEastAsia" w:hAnsiTheme="minorEastAsia" w:hint="eastAsia"/>
                <w:bCs/>
                <w:sz w:val="24"/>
              </w:rPr>
              <w:t>其他检察支出</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Theme="minorEastAsia" w:hAnsiTheme="minorEastAsia"/>
                <w:bCs/>
                <w:sz w:val="24"/>
              </w:rPr>
            </w:pPr>
            <w:r>
              <w:rPr>
                <w:rFonts w:asciiTheme="minorEastAsia" w:hAnsiTheme="minorEastAsia" w:hint="eastAsia"/>
                <w:bCs/>
                <w:sz w:val="24"/>
              </w:rPr>
              <w:t>26.95</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2080505</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 xml:space="preserve">  机关事业单位基本养老保险缴费支出</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hint="eastAsia"/>
                <w:bCs/>
                <w:sz w:val="24"/>
              </w:rPr>
              <w:t>75.59</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sz w:val="24"/>
              </w:rPr>
              <w:t>2080506</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宋体" w:hAnsi="宋体" w:cs="宋体"/>
                <w:bCs/>
                <w:color w:val="000000"/>
                <w:sz w:val="24"/>
              </w:rPr>
            </w:pPr>
            <w:r>
              <w:rPr>
                <w:rFonts w:ascii="宋体" w:hAnsi="宋体" w:cs="宋体" w:hint="eastAsia"/>
                <w:bCs/>
                <w:color w:val="000000"/>
                <w:sz w:val="24"/>
              </w:rPr>
              <w:t>机关事业单位职业年金缴费支出</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hint="eastAsia"/>
                <w:bCs/>
                <w:sz w:val="24"/>
              </w:rPr>
              <w:t>5.63</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hint="eastAsia"/>
                <w:bCs/>
                <w:sz w:val="24"/>
              </w:rPr>
              <w:t>2080599</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ind w:firstLineChars="100" w:firstLine="240"/>
              <w:jc w:val="left"/>
              <w:textAlignment w:val="center"/>
              <w:rPr>
                <w:rFonts w:ascii="宋体" w:hAnsi="宋体" w:cs="宋体"/>
                <w:bCs/>
                <w:color w:val="000000"/>
                <w:sz w:val="24"/>
              </w:rPr>
            </w:pPr>
            <w:r>
              <w:rPr>
                <w:rFonts w:ascii="宋体" w:hAnsi="宋体" w:hint="eastAsia"/>
                <w:bCs/>
                <w:sz w:val="24"/>
              </w:rPr>
              <w:t>其他行政事业单位养老支出</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bCs/>
                <w:sz w:val="24"/>
              </w:rPr>
            </w:pPr>
            <w:r>
              <w:rPr>
                <w:rFonts w:ascii="宋体" w:hAnsi="宋体" w:hint="eastAsia"/>
                <w:bCs/>
                <w:sz w:val="24"/>
              </w:rPr>
              <w:t>3.47</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sz w:val="24"/>
              </w:rPr>
              <w:t>2080801</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sz w:val="24"/>
              </w:rPr>
              <w:t xml:space="preserve">  死亡抚恤</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cs="宋体" w:hint="eastAsia"/>
                <w:bCs/>
                <w:color w:val="000000"/>
                <w:sz w:val="24"/>
              </w:rPr>
              <w:t>0.84</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2101101</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 xml:space="preserve">  行政单位医疗</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hint="eastAsia"/>
                <w:bCs/>
                <w:sz w:val="24"/>
              </w:rPr>
              <w:t>36.15</w:t>
            </w:r>
          </w:p>
        </w:tc>
      </w:tr>
      <w:tr w:rsidR="00287D47">
        <w:trPr>
          <w:trHeight w:val="454"/>
        </w:trPr>
        <w:tc>
          <w:tcPr>
            <w:tcW w:w="11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2101102</w:t>
            </w:r>
          </w:p>
        </w:tc>
        <w:tc>
          <w:tcPr>
            <w:tcW w:w="4595"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 xml:space="preserve">  事业单位医疗</w:t>
            </w:r>
          </w:p>
        </w:tc>
        <w:tc>
          <w:tcPr>
            <w:tcW w:w="1864" w:type="dxa"/>
            <w:tcBorders>
              <w:top w:val="nil"/>
              <w:left w:val="nil"/>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hint="eastAsia"/>
                <w:bCs/>
                <w:sz w:val="24"/>
              </w:rPr>
              <w:t>8.56</w:t>
            </w:r>
          </w:p>
        </w:tc>
      </w:tr>
      <w:tr w:rsidR="00287D47">
        <w:trPr>
          <w:trHeight w:val="454"/>
        </w:trPr>
        <w:tc>
          <w:tcPr>
            <w:tcW w:w="1196" w:type="dxa"/>
            <w:tcBorders>
              <w:top w:val="nil"/>
              <w:left w:val="single" w:sz="4" w:space="0" w:color="000000"/>
              <w:bottom w:val="single" w:sz="8"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2210201</w:t>
            </w:r>
          </w:p>
        </w:tc>
        <w:tc>
          <w:tcPr>
            <w:tcW w:w="4595" w:type="dxa"/>
            <w:tcBorders>
              <w:top w:val="nil"/>
              <w:left w:val="nil"/>
              <w:bottom w:val="single" w:sz="8"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24"/>
              </w:rPr>
            </w:pPr>
            <w:r>
              <w:rPr>
                <w:rFonts w:ascii="宋体" w:hAnsi="宋体" w:cs="宋体" w:hint="eastAsia"/>
                <w:bCs/>
                <w:color w:val="000000"/>
                <w:kern w:val="0"/>
                <w:sz w:val="24"/>
              </w:rPr>
              <w:t xml:space="preserve">  住房公积金</w:t>
            </w:r>
          </w:p>
        </w:tc>
        <w:tc>
          <w:tcPr>
            <w:tcW w:w="1864" w:type="dxa"/>
            <w:tcBorders>
              <w:top w:val="nil"/>
              <w:left w:val="nil"/>
              <w:bottom w:val="single" w:sz="8"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24"/>
              </w:rPr>
            </w:pPr>
            <w:r>
              <w:rPr>
                <w:rFonts w:ascii="宋体" w:hAnsi="宋体" w:hint="eastAsia"/>
                <w:bCs/>
                <w:sz w:val="24"/>
              </w:rPr>
              <w:t>56.7</w:t>
            </w:r>
          </w:p>
        </w:tc>
      </w:tr>
    </w:tbl>
    <w:p w:rsidR="00287D47" w:rsidRDefault="00287D47">
      <w:pPr>
        <w:pStyle w:val="a3"/>
        <w:rPr>
          <w:bCs/>
        </w:rPr>
      </w:pPr>
    </w:p>
    <w:p w:rsidR="00287D47" w:rsidRDefault="00287D47">
      <w:pPr>
        <w:pStyle w:val="a3"/>
        <w:rPr>
          <w:bCs/>
        </w:rPr>
      </w:pPr>
    </w:p>
    <w:p w:rsidR="00287D47" w:rsidRDefault="00287D47">
      <w:pPr>
        <w:pStyle w:val="a3"/>
        <w:rPr>
          <w:bCs/>
        </w:rPr>
      </w:pPr>
    </w:p>
    <w:p w:rsidR="00287D47" w:rsidRDefault="00626503">
      <w:pPr>
        <w:spacing w:line="560" w:lineRule="exact"/>
        <w:ind w:firstLineChars="196" w:firstLine="627"/>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lastRenderedPageBreak/>
        <w:t>三、部门财政支出管理情况</w:t>
      </w:r>
    </w:p>
    <w:p w:rsidR="00287D47" w:rsidRDefault="00626503">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（一）预决算编制情况</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2019</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12</w:t>
      </w:r>
      <w:r>
        <w:rPr>
          <w:rFonts w:ascii="Times New Roman" w:eastAsia="仿宋_GB2312" w:hAnsi="Times New Roman" w:hint="eastAsia"/>
          <w:bCs/>
          <w:sz w:val="32"/>
          <w:szCs w:val="32"/>
        </w:rPr>
        <w:t>月，严格按照《预算法》、《中华人民共和国预算法实施条例》及《泸县</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年县本级部门预算编制方法和口径》等预算编制的法律、法规，以</w:t>
      </w:r>
      <w:r>
        <w:rPr>
          <w:rFonts w:ascii="Times New Roman" w:eastAsia="仿宋_GB2312" w:hAnsi="Times New Roman" w:hint="eastAsia"/>
          <w:bCs/>
          <w:sz w:val="32"/>
          <w:szCs w:val="32"/>
        </w:rPr>
        <w:t>20</w:t>
      </w:r>
      <w:r w:rsidR="00FB2B39">
        <w:rPr>
          <w:rFonts w:ascii="Times New Roman" w:eastAsia="仿宋_GB2312" w:hAnsi="Times New Roman" w:hint="eastAsia"/>
          <w:bCs/>
          <w:sz w:val="32"/>
          <w:szCs w:val="32"/>
        </w:rPr>
        <w:t>20</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12</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31</w:t>
      </w:r>
      <w:r>
        <w:rPr>
          <w:rFonts w:ascii="Times New Roman" w:eastAsia="仿宋_GB2312" w:hAnsi="Times New Roman" w:hint="eastAsia"/>
          <w:bCs/>
          <w:sz w:val="32"/>
          <w:szCs w:val="32"/>
        </w:rPr>
        <w:t>日为基本支出预算编制基准期。基本支出预算包括人员经费和日常公用经费两部分，采取人员经费按标准、公用经费按定额编制的方法，结合我</w:t>
      </w:r>
      <w:r w:rsidR="00D64ECC">
        <w:rPr>
          <w:rFonts w:ascii="Times New Roman" w:eastAsia="仿宋_GB2312" w:hAnsi="Times New Roman" w:hint="eastAsia"/>
          <w:bCs/>
          <w:sz w:val="32"/>
          <w:szCs w:val="32"/>
        </w:rPr>
        <w:t>单位实际和工作计划，认真开展我单位</w:t>
      </w:r>
      <w:r>
        <w:rPr>
          <w:rFonts w:ascii="Times New Roman" w:eastAsia="仿宋_GB2312" w:hAnsi="Times New Roman" w:hint="eastAsia"/>
          <w:bCs/>
          <w:sz w:val="32"/>
          <w:szCs w:val="32"/>
        </w:rPr>
        <w:t>的预算编制工作，人员经费预算按照人力资源和社会保障局工资待遇股审核过的工资进行编制，切实做到数据完整和准确无误。对项目资金的预算，提出具体的项目、目标和实施计划，细化项目支出内容，精准编制项目支出绩效申报表，提供准确的项目支撑依据，切实做到项目资金编制的合理化、人性化，并在规定的时限内完整、准确的报送到县级财政部门，为全县预算编制工作的按时完成打下基础。</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年部门收入决算总计为</w:t>
      </w:r>
      <w:r>
        <w:rPr>
          <w:rFonts w:ascii="仿宋_GB2312" w:eastAsia="仿宋_GB2312" w:hAnsi="仿宋" w:hint="eastAsia"/>
          <w:bCs/>
          <w:sz w:val="32"/>
          <w:szCs w:val="32"/>
        </w:rPr>
        <w:t>1535.76</w:t>
      </w:r>
      <w:r>
        <w:rPr>
          <w:rFonts w:ascii="Times New Roman" w:eastAsia="仿宋_GB2312" w:hAnsi="Times New Roman" w:hint="eastAsia"/>
          <w:bCs/>
          <w:sz w:val="32"/>
          <w:szCs w:val="32"/>
        </w:rPr>
        <w:t>万元，年初结转结余</w:t>
      </w:r>
      <w:r>
        <w:rPr>
          <w:rFonts w:ascii="仿宋_GB2312" w:eastAsia="仿宋_GB2312" w:hAnsi="仿宋" w:hint="eastAsia"/>
          <w:bCs/>
          <w:sz w:val="32"/>
          <w:szCs w:val="32"/>
        </w:rPr>
        <w:t>644.26</w:t>
      </w:r>
      <w:r>
        <w:rPr>
          <w:rFonts w:ascii="Times New Roman" w:eastAsia="仿宋_GB2312" w:hAnsi="Times New Roman" w:hint="eastAsia"/>
          <w:bCs/>
          <w:sz w:val="32"/>
          <w:szCs w:val="32"/>
        </w:rPr>
        <w:t>万元，当年财政拨款支出</w:t>
      </w:r>
      <w:r>
        <w:rPr>
          <w:rFonts w:ascii="Times New Roman" w:eastAsia="仿宋_GB2312" w:hAnsi="Times New Roman" w:hint="eastAsia"/>
          <w:bCs/>
          <w:sz w:val="32"/>
          <w:szCs w:val="32"/>
        </w:rPr>
        <w:t>2067.75</w:t>
      </w:r>
      <w:r>
        <w:rPr>
          <w:rFonts w:ascii="Times New Roman" w:eastAsia="仿宋_GB2312" w:hAnsi="Times New Roman" w:hint="eastAsia"/>
          <w:bCs/>
          <w:sz w:val="32"/>
          <w:szCs w:val="32"/>
        </w:rPr>
        <w:t>万元，年末结转结余</w:t>
      </w:r>
      <w:r>
        <w:rPr>
          <w:rFonts w:ascii="Times New Roman" w:eastAsia="仿宋_GB2312" w:hAnsi="Times New Roman" w:hint="eastAsia"/>
          <w:bCs/>
          <w:sz w:val="32"/>
          <w:szCs w:val="32"/>
        </w:rPr>
        <w:t>112.27</w:t>
      </w:r>
      <w:r>
        <w:rPr>
          <w:rFonts w:ascii="Times New Roman" w:eastAsia="仿宋_GB2312" w:hAnsi="Times New Roman" w:hint="eastAsia"/>
          <w:bCs/>
          <w:sz w:val="32"/>
          <w:szCs w:val="32"/>
        </w:rPr>
        <w:t>万元。</w:t>
      </w:r>
    </w:p>
    <w:p w:rsidR="00287D47" w:rsidRDefault="00626503" w:rsidP="00011B20">
      <w:pPr>
        <w:spacing w:line="560" w:lineRule="exact"/>
        <w:ind w:firstLineChars="199" w:firstLine="637"/>
        <w:rPr>
          <w:rFonts w:ascii="Times New Roman" w:eastAsia="仿宋_GB2312" w:hAnsi="Times New Roman"/>
          <w:bCs/>
          <w:sz w:val="32"/>
          <w:szCs w:val="32"/>
        </w:rPr>
      </w:pPr>
      <w:r>
        <w:rPr>
          <w:rFonts w:ascii="Times New Roman" w:eastAsia="仿宋_GB2312" w:hAnsi="Times New Roman"/>
          <w:bCs/>
          <w:sz w:val="32"/>
          <w:szCs w:val="32"/>
        </w:rPr>
        <w:t>（二）执行管理情况</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在资金的支出执行上严格按照预算执行，坚持“反对浪费，节约开支”的原则，专款专用，不拖欠，不挪用。在收到财政对口股室下达的各类指标后，按照资金的用途，在把好审核关的基础上，按时按量按照资金预算进度及时拨付各项款项。人员经费、日常公用及项目资金全部是按要求和规</w:t>
      </w:r>
      <w:r>
        <w:rPr>
          <w:rFonts w:ascii="Times New Roman" w:eastAsia="仿宋_GB2312" w:hAnsi="Times New Roman" w:hint="eastAsia"/>
          <w:bCs/>
          <w:sz w:val="32"/>
          <w:szCs w:val="32"/>
        </w:rPr>
        <w:lastRenderedPageBreak/>
        <w:t>定给予支付，特别是在三公经费方面加强管理，不该报销的一律不给予报销，严格把支出控制在年初的预算指标内，严格按照中央“八项规定”、省、市、县“十项规定”和财务相关规定执行财政资金的管理和使用。</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年在保证我院日常工作的正常运转和我院各项工作的圆满完成情况下，把节约的经费全部上缴财政。</w:t>
      </w:r>
    </w:p>
    <w:p w:rsidR="00287D47" w:rsidRDefault="00626503" w:rsidP="00011B20">
      <w:pPr>
        <w:spacing w:line="560" w:lineRule="exact"/>
        <w:ind w:firstLineChars="199" w:firstLine="637"/>
        <w:rPr>
          <w:rFonts w:ascii="Times New Roman" w:eastAsia="仿宋_GB2312" w:hAnsi="Times New Roman"/>
          <w:bCs/>
          <w:sz w:val="32"/>
          <w:szCs w:val="32"/>
        </w:rPr>
      </w:pPr>
      <w:r>
        <w:rPr>
          <w:rFonts w:ascii="Times New Roman" w:eastAsia="仿宋_GB2312" w:hAnsi="Times New Roman"/>
          <w:bCs/>
          <w:sz w:val="32"/>
          <w:szCs w:val="32"/>
        </w:rPr>
        <w:t>（三）支出绩效情况</w:t>
      </w:r>
    </w:p>
    <w:p w:rsidR="00287D47" w:rsidRDefault="00626503">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 xml:space="preserve">1. </w:t>
      </w:r>
      <w:r>
        <w:rPr>
          <w:rFonts w:ascii="Times New Roman" w:eastAsia="仿宋_GB2312" w:hAnsi="Times New Roman"/>
          <w:bCs/>
          <w:sz w:val="32"/>
          <w:szCs w:val="32"/>
        </w:rPr>
        <w:t>部门支出绩效</w:t>
      </w:r>
    </w:p>
    <w:p w:rsidR="00287D47" w:rsidRDefault="00626503">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）行政运转保障。</w:t>
      </w:r>
    </w:p>
    <w:p w:rsidR="00287D47" w:rsidRDefault="00626503">
      <w:pPr>
        <w:pStyle w:val="a5"/>
        <w:widowControl/>
        <w:spacing w:after="150" w:line="450" w:lineRule="atLeast"/>
        <w:ind w:firstLineChars="200" w:firstLine="640"/>
        <w:rPr>
          <w:rFonts w:ascii="Times New Roman" w:hAnsi="Times New Roman"/>
          <w:bCs/>
          <w:sz w:val="32"/>
          <w:szCs w:val="32"/>
        </w:rPr>
      </w:pPr>
      <w:r>
        <w:rPr>
          <w:rFonts w:ascii="宋体" w:hAnsi="宋体" w:cs="宋体" w:hint="eastAsia"/>
          <w:bCs/>
          <w:color w:val="000000"/>
          <w:sz w:val="32"/>
          <w:szCs w:val="32"/>
        </w:rPr>
        <w:t>泸县人民检察院严格遵守各项财经纪律，加强单位财务管理工作，制定了相关规章制度，加强和细化了预算编制，严格按照预算执行，确保财务收支平衡，保障单位工作正常运转和各项目标任务的完成。</w:t>
      </w:r>
    </w:p>
    <w:p w:rsidR="00287D47" w:rsidRDefault="00626503">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）机关厉行节约。</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泸县人民检察院根据单位具体情况制定了《内部控制制度》，进一步完善了财务收支审批制度、会计工作人员岗位制度等相关制度。相关工作人员在工作中严格执行规章制度，加强了内部监督和控制，增强财务运行透明度，按照县财政局的要求，我院及时对</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年预算信息进行了公开，接受广大人民群众的监督。</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年度单位无机关因公出国（境）费用的发生。</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年因保障办案业务的需求，发生公务用车运行维护费</w:t>
      </w:r>
      <w:r>
        <w:rPr>
          <w:rFonts w:ascii="Times New Roman" w:eastAsia="仿宋_GB2312" w:hAnsi="Times New Roman" w:hint="eastAsia"/>
          <w:bCs/>
          <w:sz w:val="32"/>
          <w:szCs w:val="32"/>
        </w:rPr>
        <w:t>48</w:t>
      </w:r>
      <w:r>
        <w:rPr>
          <w:rFonts w:ascii="Times New Roman" w:eastAsia="仿宋_GB2312" w:hAnsi="Times New Roman" w:hint="eastAsia"/>
          <w:bCs/>
          <w:sz w:val="32"/>
          <w:szCs w:val="32"/>
        </w:rPr>
        <w:t>万元。</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年因公接待</w:t>
      </w:r>
      <w:r>
        <w:rPr>
          <w:rFonts w:ascii="Times New Roman" w:eastAsia="仿宋_GB2312" w:hAnsi="Times New Roman" w:hint="eastAsia"/>
          <w:bCs/>
          <w:sz w:val="32"/>
          <w:szCs w:val="32"/>
        </w:rPr>
        <w:t>81</w:t>
      </w:r>
      <w:r>
        <w:rPr>
          <w:rFonts w:ascii="Times New Roman" w:eastAsia="仿宋_GB2312" w:hAnsi="Times New Roman" w:hint="eastAsia"/>
          <w:bCs/>
          <w:sz w:val="32"/>
          <w:szCs w:val="32"/>
        </w:rPr>
        <w:t>次，发生公务接待费</w:t>
      </w:r>
      <w:r>
        <w:rPr>
          <w:rFonts w:ascii="Times New Roman" w:eastAsia="仿宋_GB2312" w:hAnsi="Times New Roman" w:hint="eastAsia"/>
          <w:bCs/>
          <w:sz w:val="32"/>
          <w:szCs w:val="32"/>
        </w:rPr>
        <w:t>9.998</w:t>
      </w:r>
      <w:r>
        <w:rPr>
          <w:rFonts w:ascii="Times New Roman" w:eastAsia="仿宋_GB2312" w:hAnsi="Times New Roman" w:hint="eastAsia"/>
          <w:bCs/>
          <w:sz w:val="32"/>
          <w:szCs w:val="32"/>
        </w:rPr>
        <w:t>万元。</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我院认真落实贯彻了中央“八项规定”、省、市、县“十</w:t>
      </w:r>
      <w:r>
        <w:rPr>
          <w:rFonts w:ascii="Times New Roman" w:eastAsia="仿宋_GB2312" w:hAnsi="Times New Roman" w:hint="eastAsia"/>
          <w:bCs/>
          <w:sz w:val="32"/>
          <w:szCs w:val="32"/>
        </w:rPr>
        <w:lastRenderedPageBreak/>
        <w:t>项规定”和单位财务规章制度，优化了年度预算安排，提高财政资金使用效益，保障了部门更好地履行职责</w:t>
      </w:r>
      <w:r w:rsidR="00154E07">
        <w:rPr>
          <w:rFonts w:ascii="Times New Roman" w:eastAsia="仿宋_GB2312" w:hAnsi="Times New Roman" w:hint="eastAsia"/>
          <w:bCs/>
          <w:sz w:val="32"/>
          <w:szCs w:val="32"/>
        </w:rPr>
        <w:t>，</w:t>
      </w:r>
      <w:r>
        <w:rPr>
          <w:rFonts w:ascii="Times New Roman" w:eastAsia="仿宋_GB2312" w:hAnsi="Times New Roman" w:hint="eastAsia"/>
          <w:bCs/>
          <w:sz w:val="32"/>
          <w:szCs w:val="32"/>
        </w:rPr>
        <w:t>使得各项工作圆满完成。</w:t>
      </w:r>
    </w:p>
    <w:p w:rsidR="00287D47" w:rsidRDefault="00626503">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）机关节能降耗。</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我院一直遵循和发扬中华民族勤俭节约的优良传统，自觉养成节约习惯</w:t>
      </w:r>
      <w:r w:rsidR="002412A7">
        <w:rPr>
          <w:rFonts w:ascii="Times New Roman" w:eastAsia="仿宋_GB2312" w:hAnsi="Times New Roman" w:hint="eastAsia"/>
          <w:bCs/>
          <w:sz w:val="32"/>
          <w:szCs w:val="32"/>
        </w:rPr>
        <w:t>，倡导健康、文明、节俭、适度的消费理念，从自身的用水、用电做起，</w:t>
      </w:r>
      <w:r>
        <w:rPr>
          <w:rFonts w:ascii="Times New Roman" w:eastAsia="仿宋_GB2312" w:hAnsi="Times New Roman" w:hint="eastAsia"/>
          <w:bCs/>
          <w:sz w:val="32"/>
          <w:szCs w:val="32"/>
        </w:rPr>
        <w:t>打造政法干部“人人讲节约、事事讲节约、时时讲节约”的良好氛围。</w:t>
      </w:r>
    </w:p>
    <w:p w:rsidR="00287D47" w:rsidRDefault="00626503">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 xml:space="preserve">2. </w:t>
      </w:r>
      <w:r>
        <w:rPr>
          <w:rFonts w:ascii="Times New Roman" w:eastAsia="仿宋_GB2312" w:hAnsi="Times New Roman"/>
          <w:bCs/>
          <w:sz w:val="32"/>
          <w:szCs w:val="32"/>
        </w:rPr>
        <w:t>专项预算项目（待批复项目）支出绩效</w:t>
      </w:r>
    </w:p>
    <w:p w:rsidR="00287D47" w:rsidRDefault="00626503">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）资金绩效分配情况。</w:t>
      </w:r>
    </w:p>
    <w:p w:rsidR="00287D47" w:rsidRDefault="002412A7">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泸县人民检察院严格</w:t>
      </w:r>
      <w:r w:rsidR="00626503">
        <w:rPr>
          <w:rFonts w:ascii="Times New Roman" w:eastAsia="仿宋_GB2312" w:hAnsi="Times New Roman"/>
          <w:bCs/>
          <w:sz w:val="32"/>
          <w:szCs w:val="32"/>
        </w:rPr>
        <w:t>执行《四川省省级财政专项资金绩效分配管理暂行办法》，实施绩效分配。</w:t>
      </w:r>
    </w:p>
    <w:p w:rsidR="00287D47" w:rsidRDefault="00626503">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）项目资金管理情况。</w:t>
      </w:r>
    </w:p>
    <w:p w:rsidR="00287D47" w:rsidRDefault="00626503">
      <w:pPr>
        <w:spacing w:line="560" w:lineRule="exact"/>
        <w:ind w:firstLineChars="200" w:firstLine="640"/>
        <w:rPr>
          <w:rFonts w:ascii="Times New Roman" w:eastAsia="仿宋_GB2312" w:hAnsi="Times New Roman"/>
          <w:bCs/>
          <w:sz w:val="24"/>
        </w:rPr>
        <w:sectPr w:rsidR="00287D47">
          <w:pgSz w:w="11906" w:h="16838"/>
          <w:pgMar w:top="1440" w:right="1800" w:bottom="1440" w:left="1800" w:header="851" w:footer="992" w:gutter="0"/>
          <w:cols w:space="425"/>
          <w:docGrid w:type="lines" w:linePitch="312"/>
        </w:sectPr>
      </w:pPr>
      <w:r>
        <w:rPr>
          <w:rFonts w:ascii="Times New Roman" w:eastAsia="仿宋_GB2312" w:hAnsi="Times New Roman" w:hint="eastAsia"/>
          <w:bCs/>
          <w:sz w:val="32"/>
          <w:szCs w:val="32"/>
        </w:rPr>
        <w:t>我单位</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年预算项目</w:t>
      </w:r>
      <w:r>
        <w:rPr>
          <w:rFonts w:ascii="Times New Roman" w:eastAsia="仿宋_GB2312" w:hAnsi="Times New Roman" w:hint="eastAsia"/>
          <w:bCs/>
          <w:sz w:val="32"/>
          <w:szCs w:val="32"/>
        </w:rPr>
        <w:t>6</w:t>
      </w:r>
      <w:r>
        <w:rPr>
          <w:rFonts w:ascii="Times New Roman" w:eastAsia="仿宋_GB2312" w:hAnsi="Times New Roman" w:hint="eastAsia"/>
          <w:bCs/>
          <w:sz w:val="32"/>
          <w:szCs w:val="32"/>
        </w:rPr>
        <w:t>项，项目预算资金总额共计</w:t>
      </w:r>
      <w:r>
        <w:rPr>
          <w:rFonts w:ascii="Times New Roman" w:eastAsia="仿宋_GB2312" w:hAnsi="Times New Roman" w:hint="eastAsia"/>
          <w:bCs/>
          <w:sz w:val="32"/>
          <w:szCs w:val="32"/>
        </w:rPr>
        <w:t>269.64</w:t>
      </w:r>
      <w:r>
        <w:rPr>
          <w:rFonts w:ascii="Times New Roman" w:eastAsia="仿宋_GB2312" w:hAnsi="Times New Roman" w:hint="eastAsia"/>
          <w:bCs/>
          <w:sz w:val="32"/>
          <w:szCs w:val="32"/>
        </w:rPr>
        <w:t>万元。严格按照预算项目资金的使用范围和用途高效合理地使用资金。</w:t>
      </w:r>
      <w:r w:rsidR="006C0502">
        <w:rPr>
          <w:rFonts w:ascii="仿宋_GB2312" w:eastAsia="仿宋_GB2312" w:hAnsi="Times New Roman" w:hint="eastAsia"/>
          <w:bCs/>
          <w:sz w:val="32"/>
          <w:szCs w:val="32"/>
        </w:rPr>
        <w:t>（详见</w:t>
      </w:r>
      <w:r>
        <w:rPr>
          <w:rFonts w:ascii="仿宋_GB2312" w:eastAsia="仿宋_GB2312" w:hAnsi="Times New Roman" w:hint="eastAsia"/>
          <w:bCs/>
          <w:sz w:val="32"/>
          <w:szCs w:val="32"/>
        </w:rPr>
        <w:t>2020年项目支出绩效目标完成情况表）</w:t>
      </w:r>
      <w:r>
        <w:rPr>
          <w:rFonts w:ascii="仿宋_GB2312" w:eastAsia="仿宋_GB2312" w:hAnsi="Times New Roman" w:hint="eastAsia"/>
          <w:bCs/>
          <w:sz w:val="32"/>
          <w:szCs w:val="32"/>
        </w:rPr>
        <w:br w:type="textWrapping" w:clear="all"/>
      </w:r>
    </w:p>
    <w:tbl>
      <w:tblPr>
        <w:tblW w:w="15111" w:type="dxa"/>
        <w:tblLayout w:type="fixed"/>
        <w:tblCellMar>
          <w:left w:w="0" w:type="dxa"/>
          <w:right w:w="0" w:type="dxa"/>
        </w:tblCellMar>
        <w:tblLook w:val="04A0"/>
      </w:tblPr>
      <w:tblGrid>
        <w:gridCol w:w="566"/>
        <w:gridCol w:w="1249"/>
        <w:gridCol w:w="1017"/>
        <w:gridCol w:w="3704"/>
        <w:gridCol w:w="1571"/>
        <w:gridCol w:w="1122"/>
        <w:gridCol w:w="2306"/>
        <w:gridCol w:w="971"/>
        <w:gridCol w:w="1310"/>
        <w:gridCol w:w="1295"/>
      </w:tblGrid>
      <w:tr w:rsidR="00287D47">
        <w:trPr>
          <w:trHeight w:val="600"/>
        </w:trPr>
        <w:tc>
          <w:tcPr>
            <w:tcW w:w="13816" w:type="dxa"/>
            <w:gridSpan w:val="9"/>
            <w:tcBorders>
              <w:top w:val="nil"/>
              <w:left w:val="nil"/>
              <w:bottom w:val="nil"/>
              <w:right w:val="nil"/>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40"/>
                <w:szCs w:val="40"/>
              </w:rPr>
            </w:pPr>
            <w:r>
              <w:rPr>
                <w:rFonts w:ascii="宋体" w:hAnsi="宋体" w:cs="宋体" w:hint="eastAsia"/>
                <w:bCs/>
                <w:color w:val="000000"/>
                <w:kern w:val="0"/>
                <w:sz w:val="40"/>
                <w:szCs w:val="40"/>
              </w:rPr>
              <w:lastRenderedPageBreak/>
              <w:t>2020年项目支出绩效目标完成情况表</w:t>
            </w:r>
          </w:p>
        </w:tc>
        <w:tc>
          <w:tcPr>
            <w:tcW w:w="1295" w:type="dxa"/>
            <w:tcBorders>
              <w:top w:val="nil"/>
              <w:left w:val="nil"/>
              <w:bottom w:val="nil"/>
              <w:right w:val="nil"/>
            </w:tcBorders>
            <w:tcMar>
              <w:top w:w="15" w:type="dxa"/>
              <w:left w:w="15" w:type="dxa"/>
              <w:right w:w="15" w:type="dxa"/>
            </w:tcMar>
            <w:vAlign w:val="center"/>
          </w:tcPr>
          <w:p w:rsidR="00287D47" w:rsidRDefault="00287D47">
            <w:pPr>
              <w:widowControl/>
              <w:jc w:val="center"/>
              <w:textAlignment w:val="center"/>
              <w:rPr>
                <w:rFonts w:ascii="宋体" w:hAnsi="宋体" w:cs="宋体"/>
                <w:bCs/>
                <w:color w:val="000000"/>
                <w:sz w:val="22"/>
              </w:rPr>
            </w:pPr>
          </w:p>
        </w:tc>
      </w:tr>
      <w:tr w:rsidR="00287D47" w:rsidTr="00845952">
        <w:trPr>
          <w:trHeight w:val="420"/>
        </w:trPr>
        <w:tc>
          <w:tcPr>
            <w:tcW w:w="6536" w:type="dxa"/>
            <w:gridSpan w:val="4"/>
            <w:tcBorders>
              <w:top w:val="nil"/>
              <w:left w:val="nil"/>
              <w:bottom w:val="single" w:sz="4" w:space="0" w:color="000000"/>
              <w:right w:val="nil"/>
            </w:tcBorders>
            <w:shd w:val="clear" w:color="auto" w:fill="auto"/>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单位:泸县人民检察院</w:t>
            </w:r>
          </w:p>
        </w:tc>
        <w:tc>
          <w:tcPr>
            <w:tcW w:w="1571" w:type="dxa"/>
            <w:tcBorders>
              <w:top w:val="nil"/>
              <w:left w:val="nil"/>
              <w:bottom w:val="single" w:sz="4" w:space="0" w:color="000000"/>
              <w:right w:val="nil"/>
            </w:tcBorders>
            <w:shd w:val="clear" w:color="auto" w:fill="FFFFFF"/>
            <w:tcMar>
              <w:top w:w="15" w:type="dxa"/>
              <w:left w:w="15" w:type="dxa"/>
              <w:right w:w="15" w:type="dxa"/>
            </w:tcMar>
            <w:vAlign w:val="center"/>
          </w:tcPr>
          <w:p w:rsidR="00287D47" w:rsidRDefault="00287D47">
            <w:pPr>
              <w:rPr>
                <w:rFonts w:ascii="宋体" w:hAnsi="宋体" w:cs="宋体"/>
                <w:bCs/>
                <w:color w:val="000000"/>
                <w:sz w:val="28"/>
                <w:szCs w:val="28"/>
              </w:rPr>
            </w:pPr>
          </w:p>
        </w:tc>
        <w:tc>
          <w:tcPr>
            <w:tcW w:w="3428"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287D47" w:rsidRDefault="00287D47">
            <w:pPr>
              <w:rPr>
                <w:rFonts w:ascii="宋体" w:hAnsi="宋体" w:cs="宋体"/>
                <w:bCs/>
                <w:color w:val="000000"/>
                <w:sz w:val="28"/>
                <w:szCs w:val="28"/>
              </w:rPr>
            </w:pPr>
          </w:p>
        </w:tc>
        <w:tc>
          <w:tcPr>
            <w:tcW w:w="971" w:type="dxa"/>
            <w:tcBorders>
              <w:top w:val="nil"/>
              <w:left w:val="nil"/>
              <w:bottom w:val="single" w:sz="4" w:space="0" w:color="000000"/>
              <w:right w:val="nil"/>
            </w:tcBorders>
            <w:shd w:val="clear" w:color="auto" w:fill="FFFFFF"/>
            <w:tcMar>
              <w:top w:w="15" w:type="dxa"/>
              <w:left w:w="15" w:type="dxa"/>
              <w:right w:w="15" w:type="dxa"/>
            </w:tcMar>
            <w:vAlign w:val="center"/>
          </w:tcPr>
          <w:p w:rsidR="00287D47" w:rsidRDefault="00287D47">
            <w:pPr>
              <w:rPr>
                <w:rFonts w:ascii="宋体" w:hAnsi="宋体" w:cs="宋体"/>
                <w:bCs/>
                <w:color w:val="000000"/>
                <w:sz w:val="28"/>
                <w:szCs w:val="28"/>
              </w:rPr>
            </w:pPr>
          </w:p>
        </w:tc>
        <w:tc>
          <w:tcPr>
            <w:tcW w:w="1310" w:type="dxa"/>
            <w:tcBorders>
              <w:top w:val="nil"/>
              <w:left w:val="nil"/>
              <w:bottom w:val="single" w:sz="4" w:space="0" w:color="000000"/>
              <w:right w:val="nil"/>
            </w:tcBorders>
            <w:shd w:val="clear" w:color="auto" w:fill="FFFFFF"/>
            <w:tcMar>
              <w:top w:w="15" w:type="dxa"/>
              <w:left w:w="15" w:type="dxa"/>
              <w:right w:w="15" w:type="dxa"/>
            </w:tcMar>
            <w:vAlign w:val="center"/>
          </w:tcPr>
          <w:p w:rsidR="00287D47" w:rsidRDefault="00287D47">
            <w:pPr>
              <w:rPr>
                <w:rFonts w:ascii="宋体" w:hAnsi="宋体" w:cs="宋体"/>
                <w:bCs/>
                <w:color w:val="000000"/>
                <w:sz w:val="28"/>
                <w:szCs w:val="28"/>
              </w:rPr>
            </w:pPr>
          </w:p>
        </w:tc>
        <w:tc>
          <w:tcPr>
            <w:tcW w:w="1295" w:type="dxa"/>
            <w:tcBorders>
              <w:top w:val="nil"/>
              <w:left w:val="nil"/>
              <w:bottom w:val="single" w:sz="4" w:space="0" w:color="000000"/>
              <w:right w:val="nil"/>
            </w:tcBorders>
            <w:shd w:val="clear" w:color="auto" w:fill="FFFFFF"/>
            <w:tcMar>
              <w:top w:w="15" w:type="dxa"/>
              <w:left w:w="15" w:type="dxa"/>
              <w:right w:w="15" w:type="dxa"/>
            </w:tcMar>
            <w:vAlign w:val="center"/>
          </w:tcPr>
          <w:p w:rsidR="00287D47" w:rsidRDefault="00287D47">
            <w:pPr>
              <w:rPr>
                <w:rFonts w:ascii="宋体" w:hAnsi="宋体" w:cs="宋体"/>
                <w:bCs/>
                <w:color w:val="000000"/>
                <w:sz w:val="28"/>
                <w:szCs w:val="28"/>
              </w:rPr>
            </w:pPr>
          </w:p>
        </w:tc>
      </w:tr>
      <w:tr w:rsidR="00287D47" w:rsidTr="00845952">
        <w:trPr>
          <w:trHeight w:val="36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排序序号</w:t>
            </w:r>
          </w:p>
        </w:tc>
        <w:tc>
          <w:tcPr>
            <w:tcW w:w="124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项目名称</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年度资金预算总额（万元）</w:t>
            </w:r>
          </w:p>
        </w:tc>
        <w:tc>
          <w:tcPr>
            <w:tcW w:w="370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年度目标</w:t>
            </w:r>
          </w:p>
        </w:tc>
        <w:tc>
          <w:tcPr>
            <w:tcW w:w="857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绩效指标完成情况</w:t>
            </w:r>
          </w:p>
        </w:tc>
      </w:tr>
      <w:tr w:rsidR="00287D47" w:rsidTr="00845952">
        <w:trPr>
          <w:trHeight w:val="435"/>
        </w:trPr>
        <w:tc>
          <w:tcPr>
            <w:tcW w:w="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124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3704"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2693" w:type="dxa"/>
            <w:gridSpan w:val="2"/>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数量指标</w:t>
            </w:r>
          </w:p>
        </w:tc>
        <w:tc>
          <w:tcPr>
            <w:tcW w:w="2306"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质量指标</w:t>
            </w:r>
          </w:p>
        </w:tc>
        <w:tc>
          <w:tcPr>
            <w:tcW w:w="971"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时效指标</w:t>
            </w:r>
          </w:p>
        </w:tc>
        <w:tc>
          <w:tcPr>
            <w:tcW w:w="1310"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成本指标（万元）</w:t>
            </w:r>
          </w:p>
        </w:tc>
        <w:tc>
          <w:tcPr>
            <w:tcW w:w="1295"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服务对象满意度指标</w:t>
            </w:r>
          </w:p>
        </w:tc>
      </w:tr>
      <w:tr w:rsidR="00287D47" w:rsidTr="00845952">
        <w:trPr>
          <w:trHeight w:val="510"/>
        </w:trPr>
        <w:tc>
          <w:tcPr>
            <w:tcW w:w="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124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3704"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2693" w:type="dxa"/>
            <w:gridSpan w:val="2"/>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2306"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971"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131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7D47" w:rsidRDefault="00287D47">
            <w:pPr>
              <w:jc w:val="center"/>
              <w:rPr>
                <w:rFonts w:ascii="宋体" w:hAnsi="宋体" w:cs="宋体"/>
                <w:bCs/>
                <w:color w:val="000000"/>
                <w:sz w:val="16"/>
                <w:szCs w:val="16"/>
              </w:rPr>
            </w:pPr>
          </w:p>
        </w:tc>
        <w:tc>
          <w:tcPr>
            <w:tcW w:w="129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7D47" w:rsidRDefault="00287D47">
            <w:pPr>
              <w:jc w:val="center"/>
              <w:rPr>
                <w:rFonts w:ascii="宋体" w:hAnsi="宋体" w:cs="宋体"/>
                <w:bCs/>
                <w:color w:val="000000"/>
                <w:sz w:val="16"/>
                <w:szCs w:val="16"/>
              </w:rPr>
            </w:pPr>
          </w:p>
        </w:tc>
      </w:tr>
      <w:tr w:rsidR="00287D47" w:rsidTr="00845952">
        <w:trPr>
          <w:trHeight w:val="968"/>
        </w:trPr>
        <w:tc>
          <w:tcPr>
            <w:tcW w:w="56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1</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Pr="00845952" w:rsidRDefault="00626503">
            <w:pPr>
              <w:widowControl/>
              <w:jc w:val="left"/>
              <w:textAlignment w:val="center"/>
              <w:rPr>
                <w:rFonts w:ascii="宋体" w:hAnsi="宋体" w:cs="宋体"/>
                <w:bCs/>
                <w:color w:val="000000"/>
                <w:sz w:val="16"/>
                <w:szCs w:val="16"/>
              </w:rPr>
            </w:pPr>
            <w:r w:rsidRPr="00845952">
              <w:rPr>
                <w:rFonts w:ascii="宋体" w:hAnsi="宋体" w:cs="宋体" w:hint="eastAsia"/>
                <w:bCs/>
                <w:color w:val="000000"/>
                <w:kern w:val="0"/>
                <w:sz w:val="16"/>
                <w:szCs w:val="16"/>
              </w:rPr>
              <w:t>检察监督正常运行保障</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Pr="00845952" w:rsidRDefault="00626503">
            <w:pPr>
              <w:widowControl/>
              <w:jc w:val="center"/>
              <w:textAlignment w:val="center"/>
              <w:rPr>
                <w:rFonts w:ascii="宋体" w:hAnsi="宋体" w:cs="宋体"/>
                <w:bCs/>
                <w:color w:val="000000"/>
                <w:sz w:val="16"/>
                <w:szCs w:val="16"/>
              </w:rPr>
            </w:pPr>
            <w:r w:rsidRPr="00845952">
              <w:rPr>
                <w:rFonts w:ascii="宋体" w:hAnsi="宋体" w:cs="宋体" w:hint="eastAsia"/>
                <w:bCs/>
                <w:color w:val="000000"/>
                <w:kern w:val="0"/>
                <w:sz w:val="16"/>
                <w:szCs w:val="16"/>
              </w:rPr>
              <w:t>181.23</w:t>
            </w:r>
          </w:p>
        </w:tc>
        <w:tc>
          <w:tcPr>
            <w:tcW w:w="3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Pr="00845952" w:rsidRDefault="00626503">
            <w:pPr>
              <w:widowControl/>
              <w:jc w:val="left"/>
              <w:textAlignment w:val="center"/>
              <w:rPr>
                <w:rFonts w:ascii="宋体" w:hAnsi="宋体" w:cs="宋体"/>
                <w:bCs/>
                <w:color w:val="000000"/>
                <w:kern w:val="0"/>
                <w:sz w:val="16"/>
                <w:szCs w:val="16"/>
              </w:rPr>
            </w:pPr>
            <w:r w:rsidRPr="00845952">
              <w:rPr>
                <w:rFonts w:ascii="宋体" w:hAnsi="宋体" w:cs="宋体" w:hint="eastAsia"/>
                <w:bCs/>
                <w:color w:val="000000"/>
                <w:kern w:val="0"/>
                <w:sz w:val="16"/>
                <w:szCs w:val="16"/>
              </w:rPr>
              <w:t>目标1：打造妇女权益保护基地、建立预防校园性侵和法治进校园巡讲工作机制、未成年人驻所检察室打造、微视频拍摄；</w:t>
            </w:r>
          </w:p>
          <w:p w:rsidR="00287D47" w:rsidRPr="00845952" w:rsidRDefault="00626503">
            <w:pPr>
              <w:widowControl/>
              <w:jc w:val="left"/>
              <w:textAlignment w:val="center"/>
              <w:rPr>
                <w:rFonts w:ascii="宋体" w:hAnsi="宋体" w:cs="宋体"/>
                <w:bCs/>
                <w:color w:val="000000"/>
                <w:kern w:val="0"/>
                <w:sz w:val="16"/>
                <w:szCs w:val="16"/>
              </w:rPr>
            </w:pPr>
            <w:r w:rsidRPr="00845952">
              <w:rPr>
                <w:rFonts w:ascii="宋体" w:hAnsi="宋体" w:cs="宋体" w:hint="eastAsia"/>
                <w:bCs/>
                <w:color w:val="000000"/>
                <w:kern w:val="0"/>
                <w:sz w:val="16"/>
                <w:szCs w:val="16"/>
              </w:rPr>
              <w:t>目标2：确保审查起诉案件办案质量高，全年无错案；确保审查（决定）逮捕案件办案质量高，全年无错案；确保办理侦监活动监督案件不低于6件次，对公安机关立案监督案件不少于7件；确保监督行政执法机关移送涉嫌犯罪案件不少于5件、社区矫正案件不少于4件；</w:t>
            </w:r>
          </w:p>
          <w:p w:rsidR="00287D47" w:rsidRPr="00845952" w:rsidRDefault="00626503">
            <w:pPr>
              <w:widowControl/>
              <w:jc w:val="left"/>
              <w:textAlignment w:val="center"/>
              <w:rPr>
                <w:rFonts w:ascii="宋体" w:hAnsi="宋体" w:cs="宋体"/>
                <w:bCs/>
                <w:color w:val="000000"/>
                <w:kern w:val="0"/>
                <w:sz w:val="16"/>
                <w:szCs w:val="16"/>
              </w:rPr>
            </w:pPr>
            <w:r w:rsidRPr="00845952">
              <w:rPr>
                <w:rFonts w:ascii="宋体" w:hAnsi="宋体" w:cs="宋体" w:hint="eastAsia"/>
                <w:bCs/>
                <w:color w:val="000000"/>
                <w:kern w:val="0"/>
                <w:sz w:val="16"/>
                <w:szCs w:val="16"/>
              </w:rPr>
              <w:t>目标3：继续开展扫黑除恶专项行动；继续开展全国“两打两控”、全省“三打三控”禁毒专项行动、组建县“向阳花”禁毒宣传团队；</w:t>
            </w:r>
          </w:p>
          <w:p w:rsidR="00287D47" w:rsidRPr="00845952" w:rsidRDefault="00626503">
            <w:pPr>
              <w:widowControl/>
              <w:jc w:val="left"/>
              <w:textAlignment w:val="center"/>
              <w:rPr>
                <w:rFonts w:ascii="宋体" w:hAnsi="宋体" w:cs="宋体"/>
                <w:bCs/>
                <w:color w:val="000000"/>
                <w:kern w:val="0"/>
                <w:sz w:val="16"/>
                <w:szCs w:val="16"/>
              </w:rPr>
            </w:pPr>
            <w:r w:rsidRPr="00845952">
              <w:rPr>
                <w:rFonts w:ascii="宋体" w:hAnsi="宋体" w:cs="宋体" w:hint="eastAsia"/>
                <w:bCs/>
                <w:color w:val="000000"/>
                <w:kern w:val="0"/>
                <w:sz w:val="16"/>
                <w:szCs w:val="16"/>
              </w:rPr>
              <w:t>目标4：开展司法救助、控申接访业务经费；</w:t>
            </w:r>
          </w:p>
          <w:p w:rsidR="00287D47" w:rsidRPr="00845952" w:rsidRDefault="00626503">
            <w:pPr>
              <w:widowControl/>
              <w:jc w:val="left"/>
              <w:textAlignment w:val="center"/>
              <w:rPr>
                <w:rFonts w:ascii="宋体" w:hAnsi="宋体" w:cs="宋体"/>
                <w:bCs/>
                <w:color w:val="000000"/>
                <w:kern w:val="0"/>
                <w:sz w:val="16"/>
                <w:szCs w:val="16"/>
              </w:rPr>
            </w:pPr>
            <w:r w:rsidRPr="00845952">
              <w:rPr>
                <w:rFonts w:ascii="宋体" w:hAnsi="宋体" w:cs="宋体" w:hint="eastAsia"/>
                <w:bCs/>
                <w:color w:val="000000"/>
                <w:kern w:val="0"/>
                <w:sz w:val="16"/>
                <w:szCs w:val="16"/>
              </w:rPr>
              <w:t>目标5：推进蓝天、绿水、净土保卫战，确保完成全年公益诉讼任务，落实鉴定、评估设计费用、专家辅助人员咨询费用以及对线索提供人员的奖励政策；</w:t>
            </w:r>
          </w:p>
          <w:p w:rsidR="00287D47" w:rsidRPr="00845952" w:rsidRDefault="00626503">
            <w:pPr>
              <w:widowControl/>
              <w:jc w:val="left"/>
              <w:textAlignment w:val="center"/>
              <w:rPr>
                <w:rFonts w:ascii="宋体" w:hAnsi="宋体" w:cs="宋体"/>
                <w:bCs/>
                <w:color w:val="000000"/>
                <w:sz w:val="16"/>
                <w:szCs w:val="16"/>
              </w:rPr>
            </w:pPr>
            <w:r w:rsidRPr="00845952">
              <w:rPr>
                <w:rFonts w:ascii="宋体" w:hAnsi="宋体" w:cs="宋体" w:hint="eastAsia"/>
                <w:bCs/>
                <w:color w:val="000000"/>
                <w:kern w:val="0"/>
                <w:sz w:val="16"/>
                <w:szCs w:val="16"/>
              </w:rPr>
              <w:t>目标6：全力打好脱贫攻坚战，开展“两不愁三保障”大排查等脱贫攻坚工作</w:t>
            </w:r>
            <w:r w:rsidR="00FF4097">
              <w:rPr>
                <w:rFonts w:ascii="宋体" w:hAnsi="宋体" w:cs="宋体" w:hint="eastAsia"/>
                <w:bCs/>
                <w:color w:val="000000"/>
                <w:kern w:val="0"/>
                <w:sz w:val="16"/>
                <w:szCs w:val="16"/>
              </w:rPr>
              <w:t>。</w:t>
            </w:r>
          </w:p>
        </w:tc>
        <w:tc>
          <w:tcPr>
            <w:tcW w:w="2693"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Pr="00845952" w:rsidRDefault="00626503">
            <w:pPr>
              <w:widowControl/>
              <w:jc w:val="left"/>
              <w:textAlignment w:val="center"/>
              <w:rPr>
                <w:rFonts w:ascii="宋体" w:hAnsi="宋体" w:cs="宋体"/>
                <w:bCs/>
                <w:color w:val="000000"/>
                <w:sz w:val="16"/>
                <w:szCs w:val="16"/>
              </w:rPr>
            </w:pPr>
            <w:r w:rsidRPr="00845952">
              <w:rPr>
                <w:rFonts w:ascii="宋体" w:hAnsi="宋体" w:cs="宋体" w:hint="eastAsia"/>
                <w:bCs/>
                <w:color w:val="000000"/>
                <w:sz w:val="16"/>
                <w:szCs w:val="16"/>
              </w:rPr>
              <w:t>2020年提起公诉430人，同比上升7.23%；</w:t>
            </w:r>
          </w:p>
          <w:p w:rsidR="00287D47" w:rsidRPr="00845952" w:rsidRDefault="00626503">
            <w:pPr>
              <w:widowControl/>
              <w:jc w:val="left"/>
              <w:textAlignment w:val="center"/>
              <w:rPr>
                <w:rFonts w:ascii="宋体" w:hAnsi="宋体" w:cs="宋体"/>
                <w:bCs/>
                <w:color w:val="000000"/>
                <w:sz w:val="16"/>
                <w:szCs w:val="16"/>
              </w:rPr>
            </w:pPr>
            <w:r w:rsidRPr="00845952">
              <w:rPr>
                <w:rFonts w:ascii="宋体" w:hAnsi="宋体" w:cs="宋体" w:hint="eastAsia"/>
                <w:bCs/>
                <w:color w:val="000000"/>
                <w:sz w:val="16"/>
                <w:szCs w:val="16"/>
              </w:rPr>
              <w:t>2020年共制发涉黑恶检察建议3份：</w:t>
            </w:r>
          </w:p>
          <w:p w:rsidR="00287D47" w:rsidRPr="00845952" w:rsidRDefault="00626503">
            <w:pPr>
              <w:widowControl/>
              <w:jc w:val="left"/>
              <w:textAlignment w:val="center"/>
              <w:rPr>
                <w:rFonts w:ascii="宋体" w:hAnsi="宋体" w:cs="宋体"/>
                <w:bCs/>
                <w:color w:val="000000"/>
                <w:sz w:val="16"/>
                <w:szCs w:val="16"/>
              </w:rPr>
            </w:pPr>
            <w:r w:rsidRPr="00845952">
              <w:rPr>
                <w:rFonts w:ascii="宋体" w:hAnsi="宋体" w:cs="宋体" w:hint="eastAsia"/>
                <w:bCs/>
                <w:color w:val="000000"/>
                <w:sz w:val="16"/>
                <w:szCs w:val="16"/>
              </w:rPr>
              <w:t>全年办理公益诉讼案件10件，其中立案调查行政公益诉讼案件8件，提起刑事附带民事公益诉讼案件2件，办理了全市首例行政公益诉讼案件；</w:t>
            </w:r>
          </w:p>
          <w:p w:rsidR="00287D47" w:rsidRPr="00845952" w:rsidRDefault="00626503">
            <w:pPr>
              <w:widowControl/>
              <w:jc w:val="left"/>
              <w:textAlignment w:val="center"/>
              <w:rPr>
                <w:rFonts w:ascii="宋体" w:hAnsi="宋体" w:cs="宋体"/>
                <w:bCs/>
                <w:color w:val="000000"/>
                <w:sz w:val="16"/>
                <w:szCs w:val="16"/>
              </w:rPr>
            </w:pPr>
            <w:r w:rsidRPr="00845952">
              <w:rPr>
                <w:rFonts w:ascii="宋体" w:hAnsi="宋体" w:cs="宋体" w:hint="eastAsia"/>
                <w:bCs/>
                <w:color w:val="000000"/>
                <w:sz w:val="16"/>
                <w:szCs w:val="16"/>
              </w:rPr>
              <w:t>全年审查起诉侵犯未成年人犯罪案件15件20人，切实保护未成年人和妇女合法权益；</w:t>
            </w:r>
          </w:p>
          <w:p w:rsidR="00287D47" w:rsidRPr="00845952" w:rsidRDefault="00626503">
            <w:pPr>
              <w:widowControl/>
              <w:jc w:val="left"/>
              <w:textAlignment w:val="center"/>
              <w:rPr>
                <w:rFonts w:ascii="宋体" w:hAnsi="宋体" w:cs="宋体"/>
                <w:bCs/>
                <w:color w:val="000000"/>
                <w:sz w:val="16"/>
                <w:szCs w:val="16"/>
              </w:rPr>
            </w:pPr>
            <w:r w:rsidRPr="00845952">
              <w:rPr>
                <w:rFonts w:ascii="宋体" w:hAnsi="宋体" w:cs="宋体" w:hint="eastAsia"/>
                <w:bCs/>
                <w:color w:val="000000"/>
                <w:sz w:val="16"/>
                <w:szCs w:val="16"/>
              </w:rPr>
              <w:t>加强刑事执行检察监督，向司法行政机关提出书面纠正违法2件，向看守所发出书面纠正违法2件；</w:t>
            </w:r>
          </w:p>
          <w:p w:rsidR="00287D47" w:rsidRPr="00845952" w:rsidRDefault="00626503">
            <w:pPr>
              <w:widowControl/>
              <w:jc w:val="left"/>
              <w:textAlignment w:val="center"/>
              <w:rPr>
                <w:rFonts w:ascii="宋体" w:hAnsi="宋体" w:cs="宋体"/>
                <w:bCs/>
                <w:color w:val="000000"/>
                <w:sz w:val="16"/>
                <w:szCs w:val="16"/>
              </w:rPr>
            </w:pPr>
            <w:r w:rsidRPr="00845952">
              <w:rPr>
                <w:rFonts w:ascii="宋体" w:hAnsi="宋体" w:cs="宋体" w:hint="eastAsia"/>
                <w:bCs/>
                <w:color w:val="000000"/>
                <w:sz w:val="16"/>
                <w:szCs w:val="16"/>
              </w:rPr>
              <w:t>扎实开展优化民营经济法治环境“五个一”活动，充分考虑经济下行和疫情影响等因素，不起诉企业法定代表人1人、同意侦查机关撤回案件1件。</w:t>
            </w:r>
          </w:p>
        </w:tc>
        <w:tc>
          <w:tcPr>
            <w:tcW w:w="230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Pr="00845952" w:rsidRDefault="00626503">
            <w:pPr>
              <w:pStyle w:val="a3"/>
              <w:rPr>
                <w:bCs/>
                <w:sz w:val="16"/>
                <w:szCs w:val="16"/>
              </w:rPr>
            </w:pPr>
            <w:r w:rsidRPr="00845952">
              <w:rPr>
                <w:rFonts w:hint="eastAsia"/>
                <w:bCs/>
                <w:sz w:val="16"/>
                <w:szCs w:val="16"/>
              </w:rPr>
              <w:t>围绕大局，主动作为，服务保障经济社会高质量发展；</w:t>
            </w:r>
          </w:p>
          <w:p w:rsidR="00287D47" w:rsidRPr="00845952" w:rsidRDefault="00626503">
            <w:pPr>
              <w:pStyle w:val="a3"/>
              <w:rPr>
                <w:bCs/>
                <w:sz w:val="16"/>
                <w:szCs w:val="16"/>
              </w:rPr>
            </w:pPr>
            <w:r w:rsidRPr="00845952">
              <w:rPr>
                <w:rFonts w:hint="eastAsia"/>
                <w:bCs/>
                <w:sz w:val="16"/>
                <w:szCs w:val="16"/>
              </w:rPr>
              <w:t>切实履职，突出重点，助推社会治理体系和治理能力现代化；</w:t>
            </w:r>
          </w:p>
          <w:p w:rsidR="00287D47" w:rsidRPr="00845952" w:rsidRDefault="00626503">
            <w:pPr>
              <w:pStyle w:val="a3"/>
              <w:rPr>
                <w:bCs/>
                <w:sz w:val="16"/>
                <w:szCs w:val="16"/>
              </w:rPr>
            </w:pPr>
            <w:r w:rsidRPr="00845952">
              <w:rPr>
                <w:rFonts w:hint="eastAsia"/>
                <w:bCs/>
                <w:sz w:val="16"/>
                <w:szCs w:val="16"/>
              </w:rPr>
              <w:t>聚焦监督，精准发力，进一步彰显公平正义；</w:t>
            </w:r>
          </w:p>
          <w:p w:rsidR="00287D47" w:rsidRPr="00845952" w:rsidRDefault="00626503">
            <w:pPr>
              <w:pStyle w:val="a3"/>
              <w:rPr>
                <w:bCs/>
                <w:sz w:val="16"/>
                <w:szCs w:val="16"/>
              </w:rPr>
            </w:pPr>
            <w:r w:rsidRPr="00845952">
              <w:rPr>
                <w:rFonts w:hint="eastAsia"/>
                <w:bCs/>
                <w:sz w:val="16"/>
                <w:szCs w:val="16"/>
              </w:rPr>
              <w:t>提高站位，接受监督，激发检察队伍活力。</w:t>
            </w:r>
          </w:p>
        </w:tc>
        <w:tc>
          <w:tcPr>
            <w:tcW w:w="971"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Pr="00845952" w:rsidRDefault="00626503">
            <w:pPr>
              <w:widowControl/>
              <w:jc w:val="left"/>
              <w:textAlignment w:val="center"/>
              <w:rPr>
                <w:rFonts w:ascii="宋体" w:hAnsi="宋体" w:cs="宋体"/>
                <w:bCs/>
                <w:color w:val="000000"/>
                <w:sz w:val="16"/>
                <w:szCs w:val="16"/>
              </w:rPr>
            </w:pPr>
            <w:r w:rsidRPr="00845952">
              <w:rPr>
                <w:rFonts w:ascii="宋体" w:hAnsi="宋体" w:cs="宋体" w:hint="eastAsia"/>
                <w:bCs/>
                <w:color w:val="000000"/>
                <w:kern w:val="0"/>
                <w:sz w:val="16"/>
                <w:szCs w:val="16"/>
              </w:rPr>
              <w:t>全年</w:t>
            </w:r>
          </w:p>
        </w:tc>
        <w:tc>
          <w:tcPr>
            <w:tcW w:w="131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Pr="00845952" w:rsidRDefault="00626503">
            <w:pPr>
              <w:widowControl/>
              <w:jc w:val="center"/>
              <w:textAlignment w:val="center"/>
              <w:rPr>
                <w:rFonts w:ascii="宋体" w:hAnsi="宋体" w:cs="宋体"/>
                <w:bCs/>
                <w:color w:val="000000"/>
                <w:sz w:val="16"/>
                <w:szCs w:val="16"/>
              </w:rPr>
            </w:pPr>
            <w:r w:rsidRPr="00845952">
              <w:rPr>
                <w:rFonts w:ascii="宋体" w:hAnsi="宋体" w:cs="宋体" w:hint="eastAsia"/>
                <w:bCs/>
                <w:color w:val="000000"/>
                <w:kern w:val="0"/>
                <w:sz w:val="16"/>
                <w:szCs w:val="16"/>
              </w:rPr>
              <w:t>181.23</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Pr="00845952" w:rsidRDefault="00626503">
            <w:pPr>
              <w:widowControl/>
              <w:jc w:val="left"/>
              <w:textAlignment w:val="center"/>
              <w:rPr>
                <w:rFonts w:ascii="宋体" w:hAnsi="宋体" w:cs="宋体"/>
                <w:bCs/>
                <w:color w:val="000000"/>
                <w:sz w:val="16"/>
                <w:szCs w:val="16"/>
              </w:rPr>
            </w:pPr>
            <w:r w:rsidRPr="00845952">
              <w:rPr>
                <w:rFonts w:ascii="宋体" w:hAnsi="宋体" w:cs="宋体" w:hint="eastAsia"/>
                <w:bCs/>
                <w:color w:val="000000"/>
                <w:kern w:val="0"/>
                <w:sz w:val="16"/>
                <w:szCs w:val="16"/>
              </w:rPr>
              <w:t>公众满意度达100%</w:t>
            </w:r>
          </w:p>
        </w:tc>
      </w:tr>
      <w:tr w:rsidR="00287D47" w:rsidTr="00845952">
        <w:trPr>
          <w:trHeight w:val="1095"/>
        </w:trPr>
        <w:tc>
          <w:tcPr>
            <w:tcW w:w="56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lastRenderedPageBreak/>
              <w:t>2</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基层检察运行保障</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16.65</w:t>
            </w:r>
          </w:p>
        </w:tc>
        <w:tc>
          <w:tcPr>
            <w:tcW w:w="3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目标1：云龙、嘉明、兆雅、牛滩、派驻工业园区五个检察室一年正常运转</w:t>
            </w:r>
            <w:r w:rsidR="00FF4097">
              <w:rPr>
                <w:rFonts w:ascii="宋体" w:hAnsi="宋体" w:cs="宋体" w:hint="eastAsia"/>
                <w:bCs/>
                <w:color w:val="000000"/>
                <w:kern w:val="0"/>
                <w:sz w:val="16"/>
                <w:szCs w:val="16"/>
              </w:rPr>
              <w:t>；</w:t>
            </w:r>
          </w:p>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目标2：完成一年走访、接访任务</w:t>
            </w:r>
            <w:r w:rsidR="00FF4097">
              <w:rPr>
                <w:rFonts w:ascii="宋体" w:hAnsi="宋体" w:cs="宋体" w:hint="eastAsia"/>
                <w:bCs/>
                <w:color w:val="000000"/>
                <w:kern w:val="0"/>
                <w:sz w:val="16"/>
                <w:szCs w:val="16"/>
              </w:rPr>
              <w:t>。</w:t>
            </w:r>
          </w:p>
        </w:tc>
        <w:tc>
          <w:tcPr>
            <w:tcW w:w="2693"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法律宣传60次；</w:t>
            </w:r>
          </w:p>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sz w:val="16"/>
                <w:szCs w:val="16"/>
              </w:rPr>
              <w:t>走访覆盖辖区≥98%</w:t>
            </w:r>
            <w:r w:rsidR="0076442F">
              <w:rPr>
                <w:rFonts w:ascii="宋体" w:hAnsi="宋体" w:cs="宋体" w:hint="eastAsia"/>
                <w:bCs/>
                <w:color w:val="000000"/>
                <w:sz w:val="16"/>
                <w:szCs w:val="16"/>
              </w:rPr>
              <w:t>。</w:t>
            </w:r>
          </w:p>
        </w:tc>
        <w:tc>
          <w:tcPr>
            <w:tcW w:w="230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法律宣传达到一定效果；</w:t>
            </w:r>
          </w:p>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sz w:val="16"/>
                <w:szCs w:val="16"/>
              </w:rPr>
              <w:t>使得群众了解检察机关职能；</w:t>
            </w:r>
          </w:p>
        </w:tc>
        <w:tc>
          <w:tcPr>
            <w:tcW w:w="971"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全年</w:t>
            </w:r>
          </w:p>
        </w:tc>
        <w:tc>
          <w:tcPr>
            <w:tcW w:w="131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16.65</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广大群众对检察监督的满意度达≥98%</w:t>
            </w:r>
          </w:p>
        </w:tc>
      </w:tr>
      <w:tr w:rsidR="00287D47" w:rsidTr="00845952">
        <w:trPr>
          <w:trHeight w:val="1185"/>
        </w:trPr>
        <w:tc>
          <w:tcPr>
            <w:tcW w:w="56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3</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办案用房及技侦用房维护保障</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sz w:val="16"/>
                <w:szCs w:val="16"/>
              </w:rPr>
              <w:t>38.76</w:t>
            </w:r>
          </w:p>
        </w:tc>
        <w:tc>
          <w:tcPr>
            <w:tcW w:w="3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目标1：办案区域改造；</w:t>
            </w:r>
          </w:p>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目标2：技侦用房维修维护；</w:t>
            </w:r>
          </w:p>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目标3：机房升级维修维护费用；</w:t>
            </w:r>
          </w:p>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 xml:space="preserve">目标4：驻所检察室监控系统维修（护）、办案系统维护。   </w:t>
            </w:r>
          </w:p>
        </w:tc>
        <w:tc>
          <w:tcPr>
            <w:tcW w:w="2693"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sz w:val="16"/>
                <w:szCs w:val="16"/>
              </w:rPr>
              <w:t>保障检察监督案件宣告室能投入；</w:t>
            </w:r>
          </w:p>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sz w:val="16"/>
                <w:szCs w:val="16"/>
              </w:rPr>
              <w:t>解决技侦用房漏水现象；</w:t>
            </w:r>
          </w:p>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sz w:val="16"/>
                <w:szCs w:val="16"/>
              </w:rPr>
              <w:t>完成机房一体化建设和网络布线改造；</w:t>
            </w:r>
          </w:p>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sz w:val="16"/>
                <w:szCs w:val="16"/>
              </w:rPr>
              <w:t xml:space="preserve"> “12309”检察服务中心空调安装。</w:t>
            </w:r>
          </w:p>
        </w:tc>
        <w:tc>
          <w:tcPr>
            <w:tcW w:w="230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营造安全稳定的社会环境；严防冤假错案；</w:t>
            </w:r>
          </w:p>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sz w:val="16"/>
                <w:szCs w:val="16"/>
              </w:rPr>
              <w:t>完善办案环境；</w:t>
            </w:r>
          </w:p>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sz w:val="16"/>
                <w:szCs w:val="16"/>
              </w:rPr>
              <w:t>改善接访环境；</w:t>
            </w:r>
          </w:p>
        </w:tc>
        <w:tc>
          <w:tcPr>
            <w:tcW w:w="971"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全年</w:t>
            </w:r>
          </w:p>
        </w:tc>
        <w:tc>
          <w:tcPr>
            <w:tcW w:w="131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sz w:val="16"/>
                <w:szCs w:val="16"/>
              </w:rPr>
              <w:t>38.76</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公众满意度达100%</w:t>
            </w:r>
          </w:p>
        </w:tc>
      </w:tr>
      <w:tr w:rsidR="00287D47" w:rsidTr="00845952">
        <w:trPr>
          <w:trHeight w:val="1050"/>
        </w:trPr>
        <w:tc>
          <w:tcPr>
            <w:tcW w:w="56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4</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专项业务和设备购置</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bCs/>
                <w:color w:val="000000"/>
                <w:kern w:val="0"/>
                <w:sz w:val="16"/>
                <w:szCs w:val="16"/>
              </w:rPr>
              <w:t>8</w:t>
            </w:r>
          </w:p>
        </w:tc>
        <w:tc>
          <w:tcPr>
            <w:tcW w:w="3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目标1：办案设备购置；</w:t>
            </w:r>
          </w:p>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目标2：办公空调更换</w:t>
            </w:r>
            <w:r w:rsidR="00FF4097">
              <w:rPr>
                <w:rFonts w:ascii="宋体" w:hAnsi="宋体" w:cs="宋体" w:hint="eastAsia"/>
                <w:bCs/>
                <w:color w:val="000000"/>
                <w:kern w:val="0"/>
                <w:sz w:val="16"/>
                <w:szCs w:val="16"/>
              </w:rPr>
              <w:t>。</w:t>
            </w:r>
          </w:p>
        </w:tc>
        <w:tc>
          <w:tcPr>
            <w:tcW w:w="2693"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正在执行采购程序</w:t>
            </w:r>
            <w:r w:rsidR="0076442F">
              <w:rPr>
                <w:rFonts w:ascii="宋体" w:hAnsi="宋体" w:cs="宋体" w:hint="eastAsia"/>
                <w:bCs/>
                <w:color w:val="000000"/>
                <w:kern w:val="0"/>
                <w:sz w:val="16"/>
                <w:szCs w:val="16"/>
              </w:rPr>
              <w:t>。</w:t>
            </w:r>
          </w:p>
        </w:tc>
        <w:tc>
          <w:tcPr>
            <w:tcW w:w="230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w:t>
            </w:r>
          </w:p>
        </w:tc>
        <w:tc>
          <w:tcPr>
            <w:tcW w:w="971"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2020年-2021年</w:t>
            </w:r>
          </w:p>
        </w:tc>
        <w:tc>
          <w:tcPr>
            <w:tcW w:w="131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w:t>
            </w:r>
          </w:p>
        </w:tc>
      </w:tr>
      <w:tr w:rsidR="00287D47" w:rsidTr="00845952">
        <w:trPr>
          <w:trHeight w:val="1530"/>
        </w:trPr>
        <w:tc>
          <w:tcPr>
            <w:tcW w:w="56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5</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被装购置保障</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bCs/>
                <w:color w:val="000000"/>
                <w:kern w:val="0"/>
                <w:sz w:val="16"/>
                <w:szCs w:val="16"/>
              </w:rPr>
              <w:t>10</w:t>
            </w:r>
          </w:p>
        </w:tc>
        <w:tc>
          <w:tcPr>
            <w:tcW w:w="3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检察人员、法警人员服装、徽章购置</w:t>
            </w:r>
            <w:r w:rsidR="00FF4097">
              <w:rPr>
                <w:rFonts w:ascii="宋体" w:hAnsi="宋体" w:cs="宋体" w:hint="eastAsia"/>
                <w:bCs/>
                <w:color w:val="000000"/>
                <w:kern w:val="0"/>
                <w:sz w:val="16"/>
                <w:szCs w:val="16"/>
              </w:rPr>
              <w:t>。</w:t>
            </w:r>
          </w:p>
        </w:tc>
        <w:tc>
          <w:tcPr>
            <w:tcW w:w="2693"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sz w:val="16"/>
                <w:szCs w:val="16"/>
              </w:rPr>
              <w:t>因检察制服两年一换，暂未更换</w:t>
            </w:r>
            <w:r w:rsidR="0076442F">
              <w:rPr>
                <w:rFonts w:ascii="宋体" w:hAnsi="宋体" w:cs="宋体" w:hint="eastAsia"/>
                <w:bCs/>
                <w:color w:val="000000"/>
                <w:sz w:val="16"/>
                <w:szCs w:val="16"/>
              </w:rPr>
              <w:t>。</w:t>
            </w:r>
          </w:p>
        </w:tc>
        <w:tc>
          <w:tcPr>
            <w:tcW w:w="230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w:t>
            </w:r>
          </w:p>
        </w:tc>
        <w:tc>
          <w:tcPr>
            <w:tcW w:w="971"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2020年-2021年</w:t>
            </w:r>
          </w:p>
        </w:tc>
        <w:tc>
          <w:tcPr>
            <w:tcW w:w="131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sz w:val="16"/>
                <w:szCs w:val="16"/>
              </w:rPr>
            </w:pPr>
            <w:r>
              <w:rPr>
                <w:rFonts w:ascii="宋体" w:hAnsi="宋体" w:cs="宋体" w:hint="eastAsia"/>
                <w:bCs/>
                <w:color w:val="000000"/>
                <w:kern w:val="0"/>
                <w:sz w:val="16"/>
                <w:szCs w:val="16"/>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kern w:val="0"/>
                <w:sz w:val="16"/>
                <w:szCs w:val="16"/>
              </w:rPr>
              <w:t>——</w:t>
            </w:r>
          </w:p>
        </w:tc>
      </w:tr>
      <w:tr w:rsidR="00287D47" w:rsidTr="00845952">
        <w:trPr>
          <w:trHeight w:val="1530"/>
        </w:trPr>
        <w:tc>
          <w:tcPr>
            <w:tcW w:w="56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6</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上争外引工作经费</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16"/>
                <w:szCs w:val="16"/>
              </w:rPr>
              <w:t>15</w:t>
            </w:r>
          </w:p>
        </w:tc>
        <w:tc>
          <w:tcPr>
            <w:tcW w:w="3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目标1：招商引资工作顺利开展；</w:t>
            </w:r>
          </w:p>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目标2：向上争取项目资金</w:t>
            </w:r>
            <w:r w:rsidR="00FF4097">
              <w:rPr>
                <w:rFonts w:ascii="宋体" w:hAnsi="宋体" w:cs="宋体" w:hint="eastAsia"/>
                <w:bCs/>
                <w:color w:val="000000"/>
                <w:kern w:val="0"/>
                <w:sz w:val="16"/>
                <w:szCs w:val="16"/>
              </w:rPr>
              <w:t>。</w:t>
            </w:r>
          </w:p>
        </w:tc>
        <w:tc>
          <w:tcPr>
            <w:tcW w:w="2693"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sz w:val="16"/>
                <w:szCs w:val="16"/>
              </w:rPr>
              <w:t>招商引资工作≥2个</w:t>
            </w:r>
            <w:r w:rsidR="0076442F">
              <w:rPr>
                <w:rFonts w:ascii="宋体" w:hAnsi="宋体" w:cs="宋体" w:hint="eastAsia"/>
                <w:bCs/>
                <w:color w:val="000000"/>
                <w:sz w:val="16"/>
                <w:szCs w:val="16"/>
              </w:rPr>
              <w:t>；</w:t>
            </w:r>
          </w:p>
          <w:p w:rsidR="00287D47" w:rsidRDefault="00626503">
            <w:pPr>
              <w:widowControl/>
              <w:jc w:val="left"/>
              <w:textAlignment w:val="center"/>
              <w:rPr>
                <w:rFonts w:ascii="宋体" w:hAnsi="宋体" w:cs="宋体"/>
                <w:bCs/>
                <w:color w:val="000000"/>
                <w:sz w:val="16"/>
                <w:szCs w:val="16"/>
              </w:rPr>
            </w:pPr>
            <w:r>
              <w:rPr>
                <w:rFonts w:ascii="宋体" w:hAnsi="宋体" w:cs="宋体" w:hint="eastAsia"/>
                <w:bCs/>
                <w:color w:val="000000"/>
                <w:sz w:val="16"/>
                <w:szCs w:val="16"/>
              </w:rPr>
              <w:t>争取专项资金</w:t>
            </w:r>
            <w:r>
              <w:rPr>
                <w:rFonts w:ascii="宋体" w:hAnsi="宋体" w:cs="宋体"/>
                <w:bCs/>
                <w:color w:val="000000"/>
                <w:sz w:val="16"/>
                <w:szCs w:val="16"/>
              </w:rPr>
              <w:t>100%</w:t>
            </w:r>
            <w:r>
              <w:rPr>
                <w:rFonts w:ascii="宋体" w:hAnsi="宋体" w:cs="宋体" w:hint="eastAsia"/>
                <w:bCs/>
                <w:color w:val="000000"/>
                <w:sz w:val="16"/>
                <w:szCs w:val="16"/>
              </w:rPr>
              <w:t>完成。</w:t>
            </w:r>
          </w:p>
        </w:tc>
        <w:tc>
          <w:tcPr>
            <w:tcW w:w="230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完成招商引资工作任务。</w:t>
            </w:r>
          </w:p>
        </w:tc>
        <w:tc>
          <w:tcPr>
            <w:tcW w:w="971"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全年</w:t>
            </w:r>
          </w:p>
        </w:tc>
        <w:tc>
          <w:tcPr>
            <w:tcW w:w="131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87D47" w:rsidRDefault="00626503">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16"/>
                <w:szCs w:val="16"/>
              </w:rPr>
              <w:t>15</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7D47" w:rsidRDefault="00626503">
            <w:pPr>
              <w:widowControl/>
              <w:jc w:val="left"/>
              <w:textAlignment w:val="center"/>
              <w:rPr>
                <w:rFonts w:ascii="宋体" w:hAnsi="宋体" w:cs="宋体"/>
                <w:bCs/>
                <w:color w:val="000000"/>
                <w:kern w:val="0"/>
                <w:sz w:val="16"/>
                <w:szCs w:val="16"/>
              </w:rPr>
            </w:pPr>
            <w:r>
              <w:rPr>
                <w:rFonts w:ascii="宋体" w:hAnsi="宋体" w:cs="宋体" w:hint="eastAsia"/>
                <w:bCs/>
                <w:color w:val="000000"/>
                <w:kern w:val="0"/>
                <w:sz w:val="16"/>
                <w:szCs w:val="16"/>
              </w:rPr>
              <w:t>公众满意度达100%</w:t>
            </w:r>
          </w:p>
        </w:tc>
      </w:tr>
    </w:tbl>
    <w:p w:rsidR="00287D47" w:rsidRDefault="00287D47">
      <w:pPr>
        <w:widowControl/>
        <w:jc w:val="left"/>
        <w:rPr>
          <w:rFonts w:ascii="Times New Roman" w:eastAsia="仿宋_GB2312" w:hAnsi="Times New Roman"/>
          <w:bCs/>
          <w:sz w:val="24"/>
        </w:rPr>
      </w:pPr>
    </w:p>
    <w:p w:rsidR="00287D47" w:rsidRDefault="00626503">
      <w:pPr>
        <w:widowControl/>
        <w:jc w:val="left"/>
        <w:rPr>
          <w:rFonts w:ascii="Times New Roman" w:eastAsia="仿宋_GB2312" w:hAnsi="Times New Roman"/>
          <w:bCs/>
          <w:sz w:val="24"/>
        </w:rPr>
        <w:sectPr w:rsidR="00287D47">
          <w:pgSz w:w="16838" w:h="11906" w:orient="landscape"/>
          <w:pgMar w:top="1797" w:right="1440" w:bottom="1797" w:left="1440" w:header="851" w:footer="992" w:gutter="0"/>
          <w:cols w:space="425"/>
          <w:docGrid w:type="linesAndChars" w:linePitch="312"/>
        </w:sectPr>
      </w:pPr>
      <w:r>
        <w:rPr>
          <w:rFonts w:ascii="Times New Roman" w:eastAsia="仿宋_GB2312" w:hAnsi="Times New Roman"/>
          <w:bCs/>
          <w:sz w:val="24"/>
        </w:rPr>
        <w:br w:type="page"/>
      </w:r>
    </w:p>
    <w:p w:rsidR="00287D47" w:rsidRDefault="00626503">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lastRenderedPageBreak/>
        <w:t>（</w:t>
      </w:r>
      <w:r>
        <w:rPr>
          <w:rFonts w:ascii="Times New Roman" w:eastAsia="仿宋_GB2312" w:hAnsi="Times New Roman"/>
          <w:bCs/>
          <w:sz w:val="32"/>
          <w:szCs w:val="32"/>
        </w:rPr>
        <w:t>3</w:t>
      </w:r>
      <w:r>
        <w:rPr>
          <w:rFonts w:ascii="Times New Roman" w:eastAsia="仿宋_GB2312" w:hAnsi="Times New Roman"/>
          <w:bCs/>
          <w:sz w:val="32"/>
          <w:szCs w:val="32"/>
        </w:rPr>
        <w:t>）绩效目标完成情况。</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是极不平凡的一年。面对突如其来的新冠肺炎疫情，泸县人民检察院在县委和市检察院的坚强领导下，坚持以习近平新时代中国特色社会主义思想为指导，全面贯彻习近平法治思想，做到战疫、履职两手抓，积极应对新冠肺炎疫情影响，坚决打好扫黑除恶、脱贫攻坚收官战，做好“六稳”工作，落实“六保”任务，努力为我县“建成四个新区、率先全面小康”贡献检察力量。泸县人民检察院不断开拓创新、锐意进取，各项任务工作完成情况良好。</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一是检务后勤保障，我院后勤保障工作顺利开展，目标完成</w:t>
      </w:r>
      <w:r w:rsidR="0076442F">
        <w:rPr>
          <w:rFonts w:ascii="Times New Roman" w:eastAsia="仿宋_GB2312" w:hAnsi="Times New Roman" w:hint="eastAsia"/>
          <w:bCs/>
          <w:sz w:val="32"/>
          <w:szCs w:val="32"/>
        </w:rPr>
        <w:t>率</w:t>
      </w:r>
      <w:r>
        <w:rPr>
          <w:rFonts w:ascii="Times New Roman" w:eastAsia="仿宋_GB2312" w:hAnsi="Times New Roman" w:hint="eastAsia"/>
          <w:bCs/>
          <w:sz w:val="32"/>
          <w:szCs w:val="32"/>
        </w:rPr>
        <w:t>100%</w:t>
      </w:r>
      <w:r>
        <w:rPr>
          <w:rFonts w:ascii="Times New Roman" w:eastAsia="仿宋_GB2312" w:hAnsi="Times New Roman" w:hint="eastAsia"/>
          <w:bCs/>
          <w:sz w:val="32"/>
          <w:szCs w:val="32"/>
        </w:rPr>
        <w:t>；二是检察监督正常运行保障，我院</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年控告申诉、审查起诉、社区矫正、公益诉讼、扫黑除恶等都按目标数量及案件质量</w:t>
      </w:r>
      <w:r>
        <w:rPr>
          <w:rFonts w:ascii="Times New Roman" w:eastAsia="仿宋_GB2312" w:hAnsi="Times New Roman" w:hint="eastAsia"/>
          <w:bCs/>
          <w:sz w:val="32"/>
          <w:szCs w:val="32"/>
        </w:rPr>
        <w:t>100%</w:t>
      </w:r>
      <w:r>
        <w:rPr>
          <w:rFonts w:ascii="Times New Roman" w:eastAsia="仿宋_GB2312" w:hAnsi="Times New Roman" w:hint="eastAsia"/>
          <w:bCs/>
          <w:sz w:val="32"/>
          <w:szCs w:val="32"/>
        </w:rPr>
        <w:t>完成；三是基层检察运行保障，派驻福集镇、云龙镇、嘉明镇、兆雅镇、牛滩镇五个检察室运转正常，完成</w:t>
      </w:r>
      <w:r w:rsidR="0076442F">
        <w:rPr>
          <w:rFonts w:ascii="Times New Roman" w:eastAsia="仿宋_GB2312" w:hAnsi="Times New Roman" w:hint="eastAsia"/>
          <w:bCs/>
          <w:sz w:val="32"/>
          <w:szCs w:val="32"/>
        </w:rPr>
        <w:t>率</w:t>
      </w:r>
      <w:r>
        <w:rPr>
          <w:rFonts w:ascii="Times New Roman" w:eastAsia="仿宋_GB2312" w:hAnsi="Times New Roman" w:hint="eastAsia"/>
          <w:bCs/>
          <w:sz w:val="32"/>
          <w:szCs w:val="32"/>
        </w:rPr>
        <w:t>达到</w:t>
      </w:r>
      <w:r>
        <w:rPr>
          <w:rFonts w:ascii="Times New Roman" w:eastAsia="仿宋_GB2312" w:hAnsi="Times New Roman" w:hint="eastAsia"/>
          <w:bCs/>
          <w:sz w:val="32"/>
          <w:szCs w:val="32"/>
        </w:rPr>
        <w:t>100%</w:t>
      </w:r>
      <w:r>
        <w:rPr>
          <w:rFonts w:ascii="Times New Roman" w:eastAsia="仿宋_GB2312" w:hAnsi="Times New Roman" w:hint="eastAsia"/>
          <w:bCs/>
          <w:sz w:val="32"/>
          <w:szCs w:val="32"/>
        </w:rPr>
        <w:t>。专项业务和设备购置项目由于正在执行采购程序，资金将于</w:t>
      </w:r>
      <w:r>
        <w:rPr>
          <w:rFonts w:ascii="Times New Roman" w:eastAsia="仿宋_GB2312" w:hAnsi="Times New Roman" w:hint="eastAsia"/>
          <w:bCs/>
          <w:sz w:val="32"/>
          <w:szCs w:val="32"/>
        </w:rPr>
        <w:t>2021</w:t>
      </w:r>
      <w:r>
        <w:rPr>
          <w:rFonts w:ascii="Times New Roman" w:eastAsia="仿宋_GB2312" w:hAnsi="Times New Roman" w:hint="eastAsia"/>
          <w:bCs/>
          <w:sz w:val="32"/>
          <w:szCs w:val="32"/>
        </w:rPr>
        <w:t>年支付，</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年未完成任务；四是“两房”建设（办案用房及技侦用房维护保障）。我院</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年维护费</w:t>
      </w:r>
      <w:r>
        <w:rPr>
          <w:rFonts w:ascii="Times New Roman" w:eastAsia="仿宋_GB2312" w:hAnsi="Times New Roman"/>
          <w:bCs/>
          <w:sz w:val="32"/>
          <w:szCs w:val="32"/>
        </w:rPr>
        <w:t>38.76</w:t>
      </w:r>
      <w:r>
        <w:rPr>
          <w:rFonts w:ascii="Times New Roman" w:eastAsia="仿宋_GB2312" w:hAnsi="Times New Roman" w:hint="eastAsia"/>
          <w:bCs/>
          <w:sz w:val="32"/>
          <w:szCs w:val="32"/>
        </w:rPr>
        <w:t>万元用于维护网络安全及办案用房维修等，使得一年工作正常运行，完成</w:t>
      </w:r>
      <w:r w:rsidR="00F50ADB">
        <w:rPr>
          <w:rFonts w:ascii="Times New Roman" w:eastAsia="仿宋_GB2312" w:hAnsi="Times New Roman" w:hint="eastAsia"/>
          <w:bCs/>
          <w:sz w:val="32"/>
          <w:szCs w:val="32"/>
        </w:rPr>
        <w:t>率</w:t>
      </w:r>
      <w:r>
        <w:rPr>
          <w:rFonts w:ascii="Times New Roman" w:eastAsia="仿宋_GB2312" w:hAnsi="Times New Roman" w:hint="eastAsia"/>
          <w:bCs/>
          <w:sz w:val="32"/>
          <w:szCs w:val="32"/>
        </w:rPr>
        <w:t>达到</w:t>
      </w:r>
      <w:r>
        <w:rPr>
          <w:rFonts w:ascii="Times New Roman" w:eastAsia="仿宋_GB2312" w:hAnsi="Times New Roman" w:hint="eastAsia"/>
          <w:bCs/>
          <w:sz w:val="32"/>
          <w:szCs w:val="32"/>
        </w:rPr>
        <w:t>100%</w:t>
      </w:r>
      <w:r>
        <w:rPr>
          <w:rFonts w:ascii="Times New Roman" w:eastAsia="仿宋_GB2312" w:hAnsi="Times New Roman" w:hint="eastAsia"/>
          <w:bCs/>
          <w:sz w:val="32"/>
          <w:szCs w:val="32"/>
        </w:rPr>
        <w:t>；五是被装购置费。</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年被装购置</w:t>
      </w:r>
      <w:r>
        <w:rPr>
          <w:rFonts w:ascii="Times New Roman" w:eastAsia="仿宋_GB2312" w:hAnsi="Times New Roman" w:hint="eastAsia"/>
          <w:bCs/>
          <w:sz w:val="32"/>
          <w:szCs w:val="32"/>
        </w:rPr>
        <w:t>10</w:t>
      </w:r>
      <w:r>
        <w:rPr>
          <w:rFonts w:ascii="Times New Roman" w:eastAsia="仿宋_GB2312" w:hAnsi="Times New Roman" w:hint="eastAsia"/>
          <w:bCs/>
          <w:sz w:val="32"/>
          <w:szCs w:val="32"/>
        </w:rPr>
        <w:t>万元，因检察制服两年一换，今年尚未办理，未完成任务。</w:t>
      </w:r>
      <w:r w:rsidR="0076442F">
        <w:rPr>
          <w:rFonts w:ascii="Times New Roman" w:eastAsia="仿宋_GB2312" w:hAnsi="Times New Roman" w:hint="eastAsia"/>
          <w:bCs/>
          <w:sz w:val="32"/>
          <w:szCs w:val="32"/>
        </w:rPr>
        <w:t>六是</w:t>
      </w:r>
      <w:r w:rsidR="0076442F" w:rsidRPr="0076442F">
        <w:rPr>
          <w:rFonts w:ascii="Times New Roman" w:eastAsia="仿宋_GB2312" w:hAnsi="Times New Roman" w:hint="eastAsia"/>
          <w:bCs/>
          <w:sz w:val="32"/>
          <w:szCs w:val="32"/>
        </w:rPr>
        <w:t>上争外引工作</w:t>
      </w:r>
      <w:r w:rsidR="0076442F">
        <w:rPr>
          <w:rFonts w:ascii="Times New Roman" w:eastAsia="仿宋_GB2312" w:hAnsi="Times New Roman" w:hint="eastAsia"/>
          <w:bCs/>
          <w:sz w:val="32"/>
          <w:szCs w:val="32"/>
        </w:rPr>
        <w:t>，完成率达到</w:t>
      </w:r>
      <w:r w:rsidR="0076442F">
        <w:rPr>
          <w:rFonts w:ascii="Times New Roman" w:eastAsia="仿宋_GB2312" w:hAnsi="Times New Roman" w:hint="eastAsia"/>
          <w:bCs/>
          <w:sz w:val="32"/>
          <w:szCs w:val="32"/>
        </w:rPr>
        <w:t>100%</w:t>
      </w:r>
      <w:r w:rsidR="0076442F">
        <w:rPr>
          <w:rFonts w:ascii="Times New Roman" w:eastAsia="仿宋_GB2312" w:hAnsi="Times New Roman" w:hint="eastAsia"/>
          <w:bCs/>
          <w:sz w:val="32"/>
          <w:szCs w:val="32"/>
        </w:rPr>
        <w:t>，圆满完成任务。</w:t>
      </w:r>
    </w:p>
    <w:p w:rsidR="00287D47" w:rsidRDefault="00626503">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（四）财务管理情况</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1</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泸县人民检察院建立健全了《内部控制手册》，制定</w:t>
      </w:r>
      <w:r>
        <w:rPr>
          <w:rFonts w:ascii="Times New Roman" w:eastAsia="仿宋_GB2312" w:hAnsi="Times New Roman" w:hint="eastAsia"/>
          <w:bCs/>
          <w:sz w:val="32"/>
          <w:szCs w:val="32"/>
        </w:rPr>
        <w:lastRenderedPageBreak/>
        <w:t>了相应的“三重一大决策制度”、“预算管理制度”、“收支管理制度”、“公务接待管理制度”等规章制度。在执行过程中我院严格遵守单位制定的各项规章制度以及《政府会计制度》，做到账务处理规范，会计凭证和财务报告真实完整，不做假账。我</w:t>
      </w:r>
      <w:r w:rsidR="00D64ECC">
        <w:rPr>
          <w:rFonts w:ascii="Times New Roman" w:eastAsia="仿宋_GB2312" w:hAnsi="Times New Roman" w:hint="eastAsia"/>
          <w:bCs/>
          <w:sz w:val="32"/>
          <w:szCs w:val="32"/>
        </w:rPr>
        <w:t>院</w:t>
      </w:r>
      <w:r>
        <w:rPr>
          <w:rFonts w:ascii="Times New Roman" w:eastAsia="仿宋_GB2312" w:hAnsi="Times New Roman" w:hint="eastAsia"/>
          <w:bCs/>
          <w:sz w:val="32"/>
          <w:szCs w:val="32"/>
        </w:rPr>
        <w:t>加强对三公经费的管理，严格控制三公经费支出。明确一般性支出的开支范围和标准，严格报账审核程序。机关公务接待、差旅费严格按泸县党政机关公务接待、差旅费管理办法执行。</w:t>
      </w:r>
    </w:p>
    <w:p w:rsidR="00287D47" w:rsidRDefault="00626503">
      <w:pPr>
        <w:spacing w:line="560" w:lineRule="exact"/>
        <w:ind w:firstLineChars="200" w:firstLine="640"/>
        <w:rPr>
          <w:bCs/>
        </w:rPr>
      </w:pPr>
      <w:r>
        <w:rPr>
          <w:rFonts w:ascii="Times New Roman" w:eastAsia="仿宋_GB2312" w:hAnsi="Times New Roman" w:hint="eastAsia"/>
          <w:bCs/>
          <w:sz w:val="32"/>
          <w:szCs w:val="32"/>
        </w:rPr>
        <w:t xml:space="preserve"> 2</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泸县人民检察院严格执行《政府会计制度》，遵守各项财经法规，严肃财经纪律，严格执行政府采购制度，依法接受财政、审计、巡察和社会各界的监督，按时上报各项报表及自查报告。</w:t>
      </w:r>
    </w:p>
    <w:p w:rsidR="00287D47" w:rsidRDefault="00626503">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（五）绩效管理工作开展情况</w:t>
      </w:r>
    </w:p>
    <w:p w:rsidR="00287D47" w:rsidRDefault="00626503">
      <w:pPr>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按照县财政局的要求，根据</w:t>
      </w:r>
      <w:r>
        <w:rPr>
          <w:rFonts w:ascii="Times New Roman" w:eastAsia="仿宋_GB2312" w:hAnsi="Times New Roman"/>
          <w:bCs/>
          <w:sz w:val="32"/>
          <w:szCs w:val="32"/>
        </w:rPr>
        <w:t>泸县财监绩〔</w:t>
      </w:r>
      <w:r>
        <w:rPr>
          <w:rFonts w:ascii="Times New Roman" w:eastAsia="仿宋_GB2312" w:hAnsi="Times New Roman"/>
          <w:bCs/>
          <w:sz w:val="32"/>
          <w:szCs w:val="32"/>
        </w:rPr>
        <w:t>2021</w:t>
      </w:r>
      <w:r>
        <w:rPr>
          <w:rFonts w:ascii="Times New Roman" w:eastAsia="仿宋_GB2312" w:hAnsi="Times New Roman"/>
          <w:bCs/>
          <w:sz w:val="32"/>
          <w:szCs w:val="32"/>
        </w:rPr>
        <w:t>〕</w:t>
      </w:r>
      <w:r>
        <w:rPr>
          <w:rFonts w:ascii="Times New Roman" w:eastAsia="仿宋_GB2312" w:hAnsi="Times New Roman"/>
          <w:bCs/>
          <w:sz w:val="32"/>
          <w:szCs w:val="32"/>
        </w:rPr>
        <w:t>6</w:t>
      </w:r>
      <w:r>
        <w:rPr>
          <w:rFonts w:ascii="Times New Roman" w:eastAsia="仿宋_GB2312" w:hAnsi="Times New Roman"/>
          <w:bCs/>
          <w:sz w:val="32"/>
          <w:szCs w:val="32"/>
        </w:rPr>
        <w:t>号</w:t>
      </w:r>
      <w:r>
        <w:rPr>
          <w:rFonts w:ascii="Times New Roman" w:eastAsia="仿宋_GB2312" w:hAnsi="Times New Roman" w:hint="eastAsia"/>
          <w:bCs/>
          <w:sz w:val="32"/>
          <w:szCs w:val="32"/>
        </w:rPr>
        <w:t>文件精神，我单位组织相关人员开展</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年度财政支出绩效评价工作。</w:t>
      </w:r>
    </w:p>
    <w:p w:rsidR="00287D47" w:rsidRDefault="00626503">
      <w:pPr>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1</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合理编制财政预算，按照预算编制口径编制基本支出预算和本年度需开展的项目预算；</w:t>
      </w:r>
    </w:p>
    <w:p w:rsidR="00287D47" w:rsidRDefault="00626503">
      <w:pPr>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2</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严格按照进度执行财政预算，对部门预算进行事中绩效监控，测算项目执行进度，分析执行中存在的问题以及提出解决方案；</w:t>
      </w:r>
    </w:p>
    <w:p w:rsidR="00287D47" w:rsidRDefault="00626503">
      <w:pPr>
        <w:ind w:firstLineChars="200" w:firstLine="640"/>
        <w:jc w:val="left"/>
        <w:rPr>
          <w:bCs/>
        </w:rPr>
      </w:pPr>
      <w:r>
        <w:rPr>
          <w:rFonts w:ascii="Times New Roman" w:eastAsia="仿宋_GB2312" w:hAnsi="Times New Roman" w:hint="eastAsia"/>
          <w:bCs/>
          <w:sz w:val="32"/>
          <w:szCs w:val="32"/>
        </w:rPr>
        <w:t>3</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年末开展财政支出整体绩效评价工作，对各项目进行支出绩效目标完成情况分析并开展得分自评，根据自评结果</w:t>
      </w:r>
      <w:r>
        <w:rPr>
          <w:rFonts w:ascii="Times New Roman" w:eastAsia="仿宋_GB2312" w:hAnsi="Times New Roman" w:hint="eastAsia"/>
          <w:bCs/>
          <w:sz w:val="32"/>
          <w:szCs w:val="32"/>
        </w:rPr>
        <w:lastRenderedPageBreak/>
        <w:t>找出差异原因，据此对次年开展财政预算提供决策依据。</w:t>
      </w:r>
    </w:p>
    <w:p w:rsidR="00287D47" w:rsidRDefault="00626503">
      <w:pPr>
        <w:spacing w:line="560" w:lineRule="exact"/>
        <w:ind w:firstLineChars="196" w:firstLine="627"/>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四、评价结论及建议</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（一）评价结论</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根据对数据的分析和自查我</w:t>
      </w:r>
      <w:r w:rsidR="00D64ECC">
        <w:rPr>
          <w:rFonts w:ascii="Times New Roman" w:eastAsia="仿宋_GB2312" w:hAnsi="Times New Roman" w:hint="eastAsia"/>
          <w:bCs/>
          <w:sz w:val="32"/>
          <w:szCs w:val="32"/>
        </w:rPr>
        <w:t>单位</w:t>
      </w:r>
      <w:r>
        <w:rPr>
          <w:rFonts w:ascii="Times New Roman" w:eastAsia="仿宋_GB2312" w:hAnsi="Times New Roman" w:hint="eastAsia"/>
          <w:bCs/>
          <w:sz w:val="32"/>
          <w:szCs w:val="32"/>
        </w:rPr>
        <w:t>不管是在资金预算编制方面，还是预算执行、综合管理、整体绩效方面，均按照国家政策法规规定，结合本单位实际情况及相关规定严格执行，并合理安排项目，使财政资金发挥最大的效益，完成了部门职能职责，实现了较高的工作效率和支出绩效。我</w:t>
      </w:r>
      <w:r w:rsidR="00D64ECC">
        <w:rPr>
          <w:rFonts w:ascii="Times New Roman" w:eastAsia="仿宋_GB2312" w:hAnsi="Times New Roman" w:hint="eastAsia"/>
          <w:bCs/>
          <w:sz w:val="32"/>
          <w:szCs w:val="32"/>
        </w:rPr>
        <w:t>单位</w:t>
      </w:r>
      <w:r>
        <w:rPr>
          <w:rFonts w:ascii="Times New Roman" w:eastAsia="仿宋_GB2312" w:hAnsi="Times New Roman" w:hint="eastAsia"/>
          <w:bCs/>
          <w:sz w:val="32"/>
          <w:szCs w:val="32"/>
        </w:rPr>
        <w:t>总体评价为良。我</w:t>
      </w:r>
      <w:r w:rsidR="00D64ECC">
        <w:rPr>
          <w:rFonts w:ascii="Times New Roman" w:eastAsia="仿宋_GB2312" w:hAnsi="Times New Roman" w:hint="eastAsia"/>
          <w:bCs/>
          <w:sz w:val="32"/>
          <w:szCs w:val="32"/>
        </w:rPr>
        <w:t>单位</w:t>
      </w:r>
      <w:r>
        <w:rPr>
          <w:rFonts w:ascii="Times New Roman" w:eastAsia="仿宋_GB2312" w:hAnsi="Times New Roman" w:hint="eastAsia"/>
          <w:bCs/>
          <w:sz w:val="32"/>
          <w:szCs w:val="32"/>
        </w:rPr>
        <w:t>“县级部门预算整体绩效评价指标体系”，预算编制得分</w:t>
      </w:r>
      <w:r>
        <w:rPr>
          <w:rFonts w:ascii="Times New Roman" w:eastAsia="仿宋_GB2312" w:hAnsi="Times New Roman" w:hint="eastAsia"/>
          <w:bCs/>
          <w:sz w:val="32"/>
          <w:szCs w:val="32"/>
        </w:rPr>
        <w:t>9</w:t>
      </w:r>
      <w:r>
        <w:rPr>
          <w:rFonts w:ascii="Times New Roman" w:eastAsia="仿宋_GB2312" w:hAnsi="Times New Roman" w:hint="eastAsia"/>
          <w:bCs/>
          <w:sz w:val="32"/>
          <w:szCs w:val="32"/>
        </w:rPr>
        <w:t>分，预算执行得分</w:t>
      </w:r>
      <w:r>
        <w:rPr>
          <w:rFonts w:ascii="Times New Roman" w:eastAsia="仿宋_GB2312" w:hAnsi="Times New Roman" w:hint="eastAsia"/>
          <w:bCs/>
          <w:sz w:val="32"/>
          <w:szCs w:val="32"/>
        </w:rPr>
        <w:t>16</w:t>
      </w:r>
      <w:r>
        <w:rPr>
          <w:rFonts w:ascii="Times New Roman" w:eastAsia="仿宋_GB2312" w:hAnsi="Times New Roman" w:hint="eastAsia"/>
          <w:bCs/>
          <w:sz w:val="32"/>
          <w:szCs w:val="32"/>
        </w:rPr>
        <w:t>分，综合管理得分</w:t>
      </w:r>
      <w:r>
        <w:rPr>
          <w:rFonts w:ascii="Times New Roman" w:eastAsia="仿宋_GB2312" w:hAnsi="Times New Roman" w:hint="eastAsia"/>
          <w:bCs/>
          <w:sz w:val="32"/>
          <w:szCs w:val="32"/>
        </w:rPr>
        <w:t>35</w:t>
      </w:r>
      <w:r>
        <w:rPr>
          <w:rFonts w:ascii="Times New Roman" w:eastAsia="仿宋_GB2312" w:hAnsi="Times New Roman" w:hint="eastAsia"/>
          <w:bCs/>
          <w:sz w:val="32"/>
          <w:szCs w:val="32"/>
        </w:rPr>
        <w:t>份，整体效益得分</w:t>
      </w:r>
      <w:r w:rsidR="00011B20">
        <w:rPr>
          <w:rFonts w:ascii="Times New Roman" w:eastAsia="仿宋_GB2312" w:hAnsi="Times New Roman" w:hint="eastAsia"/>
          <w:bCs/>
          <w:sz w:val="32"/>
          <w:szCs w:val="32"/>
        </w:rPr>
        <w:t>29</w:t>
      </w:r>
      <w:r w:rsidR="00011B20">
        <w:rPr>
          <w:rFonts w:ascii="Times New Roman" w:eastAsia="仿宋_GB2312" w:hAnsi="Times New Roman" w:hint="eastAsia"/>
          <w:bCs/>
          <w:sz w:val="32"/>
          <w:szCs w:val="32"/>
        </w:rPr>
        <w:t>分</w:t>
      </w:r>
      <w:r>
        <w:rPr>
          <w:rFonts w:ascii="Times New Roman" w:eastAsia="仿宋_GB2312" w:hAnsi="Times New Roman" w:hint="eastAsia"/>
          <w:bCs/>
          <w:sz w:val="32"/>
          <w:szCs w:val="32"/>
        </w:rPr>
        <w:t>，合计总得分</w:t>
      </w:r>
      <w:r>
        <w:rPr>
          <w:rFonts w:ascii="Times New Roman" w:eastAsia="仿宋_GB2312" w:hAnsi="Times New Roman" w:hint="eastAsia"/>
          <w:bCs/>
          <w:sz w:val="32"/>
          <w:szCs w:val="32"/>
        </w:rPr>
        <w:t>89</w:t>
      </w:r>
      <w:r>
        <w:rPr>
          <w:rFonts w:ascii="Times New Roman" w:eastAsia="仿宋_GB2312" w:hAnsi="Times New Roman" w:hint="eastAsia"/>
          <w:bCs/>
          <w:sz w:val="32"/>
          <w:szCs w:val="32"/>
        </w:rPr>
        <w:t>分。</w:t>
      </w:r>
    </w:p>
    <w:p w:rsidR="00287D47" w:rsidRDefault="00287D47">
      <w:pPr>
        <w:pStyle w:val="a3"/>
        <w:rPr>
          <w:bCs/>
        </w:rPr>
      </w:pP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（二）存在问题</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1</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我</w:t>
      </w:r>
      <w:r w:rsidR="00D64ECC">
        <w:rPr>
          <w:rFonts w:ascii="Times New Roman" w:eastAsia="仿宋_GB2312" w:hAnsi="Times New Roman" w:hint="eastAsia"/>
          <w:bCs/>
          <w:sz w:val="32"/>
          <w:szCs w:val="32"/>
        </w:rPr>
        <w:t>单位</w:t>
      </w:r>
      <w:r>
        <w:rPr>
          <w:rFonts w:ascii="Times New Roman" w:eastAsia="仿宋_GB2312" w:hAnsi="Times New Roman" w:hint="eastAsia"/>
          <w:bCs/>
          <w:sz w:val="32"/>
          <w:szCs w:val="32"/>
        </w:rPr>
        <w:t>的支出管理项目还有待进一步细化和量化，强化机关经费预算管理的刚性约束，项目支出按预算和工作进度执行，进一步规范各项支出。</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绩效目标和指标往往根据项目实际完成情况制定，对项目执行过程有效约束不够，存在一定的偏差，使得预计进度不能按时完成。</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3</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财务工作水平有待提高。执行新的政府会计制度后，财务工作在精度和深度上欠缺，还需要增强业务知识水平，提高财务工作能力。</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（三）改进建议</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1</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提高部门预算财政资金使用效益，加强绩效评价管理制度和流程的建设，进一步深化、完善绩效管理体系，建立</w:t>
      </w:r>
      <w:r>
        <w:rPr>
          <w:rFonts w:ascii="Times New Roman" w:eastAsia="仿宋_GB2312" w:hAnsi="Times New Roman" w:hint="eastAsia"/>
          <w:bCs/>
          <w:sz w:val="32"/>
          <w:szCs w:val="32"/>
        </w:rPr>
        <w:lastRenderedPageBreak/>
        <w:t>全过程的预算绩效管理机制，促进绩效管理工作向广度和深度延伸。</w:t>
      </w:r>
    </w:p>
    <w:p w:rsidR="00287D47" w:rsidRDefault="00626503">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严格按照批复预算执行，加强预算绩</w:t>
      </w:r>
      <w:bookmarkStart w:id="0" w:name="_GoBack"/>
      <w:bookmarkEnd w:id="0"/>
      <w:r>
        <w:rPr>
          <w:rFonts w:ascii="Times New Roman" w:eastAsia="仿宋_GB2312" w:hAnsi="Times New Roman" w:hint="eastAsia"/>
          <w:bCs/>
          <w:sz w:val="32"/>
          <w:szCs w:val="32"/>
        </w:rPr>
        <w:t>效管理，增强预算约束力，做好预算项目支出绩效目标及各项绩效指标的细化、量化工作，用好用活各类财政资金，提高财政资金的使用效益。</w:t>
      </w:r>
    </w:p>
    <w:p w:rsidR="00287D47" w:rsidRDefault="00287D47">
      <w:pPr>
        <w:pStyle w:val="a3"/>
        <w:rPr>
          <w:bCs/>
        </w:rPr>
      </w:pPr>
    </w:p>
    <w:p w:rsidR="00287D47" w:rsidRDefault="00287D47">
      <w:pPr>
        <w:pStyle w:val="a3"/>
        <w:rPr>
          <w:bCs/>
        </w:rPr>
      </w:pPr>
    </w:p>
    <w:p w:rsidR="00287D47" w:rsidRDefault="00287D47">
      <w:pPr>
        <w:spacing w:line="560" w:lineRule="exact"/>
        <w:ind w:firstLineChars="1750" w:firstLine="5600"/>
        <w:rPr>
          <w:rFonts w:ascii="Times New Roman" w:eastAsia="仿宋_GB2312" w:hAnsi="Times New Roman"/>
          <w:bCs/>
          <w:sz w:val="32"/>
          <w:szCs w:val="32"/>
        </w:rPr>
      </w:pPr>
    </w:p>
    <w:p w:rsidR="00287D47" w:rsidRDefault="00626503">
      <w:pPr>
        <w:spacing w:line="560" w:lineRule="exact"/>
        <w:ind w:firstLineChars="1750" w:firstLine="5600"/>
        <w:rPr>
          <w:rFonts w:ascii="Times New Roman" w:eastAsia="仿宋_GB2312" w:hAnsi="Times New Roman"/>
          <w:bCs/>
          <w:sz w:val="32"/>
          <w:szCs w:val="32"/>
        </w:rPr>
      </w:pPr>
      <w:r>
        <w:rPr>
          <w:rFonts w:ascii="Times New Roman" w:eastAsia="仿宋_GB2312" w:hAnsi="Times New Roman" w:hint="eastAsia"/>
          <w:bCs/>
          <w:sz w:val="32"/>
          <w:szCs w:val="32"/>
        </w:rPr>
        <w:t>泸县人民检察院</w:t>
      </w:r>
      <w:r>
        <w:rPr>
          <w:rFonts w:ascii="Times New Roman" w:eastAsia="仿宋_GB2312" w:hAnsi="Times New Roman" w:hint="eastAsia"/>
          <w:bCs/>
          <w:sz w:val="32"/>
          <w:szCs w:val="32"/>
        </w:rPr>
        <w:t xml:space="preserve"> </w:t>
      </w:r>
    </w:p>
    <w:p w:rsidR="00287D47" w:rsidRDefault="00626503">
      <w:pPr>
        <w:spacing w:line="560" w:lineRule="exact"/>
        <w:ind w:firstLineChars="1750" w:firstLine="5600"/>
        <w:rPr>
          <w:rFonts w:ascii="Times New Roman" w:eastAsia="仿宋_GB2312" w:hAnsi="Times New Roman"/>
          <w:bCs/>
          <w:sz w:val="32"/>
          <w:szCs w:val="32"/>
        </w:rPr>
      </w:pPr>
      <w:r>
        <w:rPr>
          <w:rFonts w:ascii="Times New Roman" w:eastAsia="仿宋_GB2312" w:hAnsi="Times New Roman" w:hint="eastAsia"/>
          <w:bCs/>
          <w:sz w:val="32"/>
          <w:szCs w:val="32"/>
        </w:rPr>
        <w:t>2021</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4</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15</w:t>
      </w:r>
      <w:r>
        <w:rPr>
          <w:rFonts w:ascii="Times New Roman" w:eastAsia="仿宋_GB2312" w:hAnsi="Times New Roman" w:hint="eastAsia"/>
          <w:bCs/>
          <w:sz w:val="32"/>
          <w:szCs w:val="32"/>
        </w:rPr>
        <w:t>日</w:t>
      </w:r>
    </w:p>
    <w:sectPr w:rsidR="00287D47" w:rsidSect="00287D4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A78" w:rsidRDefault="00083A78" w:rsidP="00011B20">
      <w:r>
        <w:separator/>
      </w:r>
    </w:p>
  </w:endnote>
  <w:endnote w:type="continuationSeparator" w:id="0">
    <w:p w:rsidR="00083A78" w:rsidRDefault="00083A78" w:rsidP="00011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A78" w:rsidRDefault="00083A78" w:rsidP="00011B20">
      <w:r>
        <w:separator/>
      </w:r>
    </w:p>
  </w:footnote>
  <w:footnote w:type="continuationSeparator" w:id="0">
    <w:p w:rsidR="00083A78" w:rsidRDefault="00083A78" w:rsidP="00011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linkStyl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AA1"/>
    <w:rsid w:val="0000062C"/>
    <w:rsid w:val="00011B20"/>
    <w:rsid w:val="000537C7"/>
    <w:rsid w:val="00083A78"/>
    <w:rsid w:val="000F3093"/>
    <w:rsid w:val="0010278B"/>
    <w:rsid w:val="00103865"/>
    <w:rsid w:val="001062C2"/>
    <w:rsid w:val="00154E07"/>
    <w:rsid w:val="00173A93"/>
    <w:rsid w:val="001960E1"/>
    <w:rsid w:val="001A0151"/>
    <w:rsid w:val="001B6A23"/>
    <w:rsid w:val="001E20C5"/>
    <w:rsid w:val="002412A7"/>
    <w:rsid w:val="00287D47"/>
    <w:rsid w:val="002C2DF7"/>
    <w:rsid w:val="002D6A68"/>
    <w:rsid w:val="002E356E"/>
    <w:rsid w:val="002E5686"/>
    <w:rsid w:val="00316FE8"/>
    <w:rsid w:val="00320558"/>
    <w:rsid w:val="00385C5E"/>
    <w:rsid w:val="00385FD7"/>
    <w:rsid w:val="003E25AC"/>
    <w:rsid w:val="00426420"/>
    <w:rsid w:val="00455352"/>
    <w:rsid w:val="0047285C"/>
    <w:rsid w:val="00475ECF"/>
    <w:rsid w:val="00492A11"/>
    <w:rsid w:val="004E15F3"/>
    <w:rsid w:val="00533F57"/>
    <w:rsid w:val="005416F4"/>
    <w:rsid w:val="00556731"/>
    <w:rsid w:val="00560CAE"/>
    <w:rsid w:val="0058504A"/>
    <w:rsid w:val="005A0BEB"/>
    <w:rsid w:val="005F447C"/>
    <w:rsid w:val="006134E9"/>
    <w:rsid w:val="00626503"/>
    <w:rsid w:val="00666039"/>
    <w:rsid w:val="006B401D"/>
    <w:rsid w:val="006C0502"/>
    <w:rsid w:val="006E5AA1"/>
    <w:rsid w:val="0072156E"/>
    <w:rsid w:val="00756002"/>
    <w:rsid w:val="0076442F"/>
    <w:rsid w:val="007C221F"/>
    <w:rsid w:val="00804299"/>
    <w:rsid w:val="00821632"/>
    <w:rsid w:val="00824A00"/>
    <w:rsid w:val="00845952"/>
    <w:rsid w:val="008A0D6B"/>
    <w:rsid w:val="008C5C79"/>
    <w:rsid w:val="008F3547"/>
    <w:rsid w:val="00942AB5"/>
    <w:rsid w:val="009466F6"/>
    <w:rsid w:val="0097643D"/>
    <w:rsid w:val="009A2D1E"/>
    <w:rsid w:val="009A52E5"/>
    <w:rsid w:val="00A15A54"/>
    <w:rsid w:val="00A30DF2"/>
    <w:rsid w:val="00A40FEE"/>
    <w:rsid w:val="00A5554C"/>
    <w:rsid w:val="00A55FAC"/>
    <w:rsid w:val="00AC057F"/>
    <w:rsid w:val="00AC523A"/>
    <w:rsid w:val="00B1098D"/>
    <w:rsid w:val="00B40B06"/>
    <w:rsid w:val="00B6155A"/>
    <w:rsid w:val="00B75C31"/>
    <w:rsid w:val="00B81DDB"/>
    <w:rsid w:val="00B908A6"/>
    <w:rsid w:val="00BA129E"/>
    <w:rsid w:val="00C1570E"/>
    <w:rsid w:val="00C34BB9"/>
    <w:rsid w:val="00C43BBF"/>
    <w:rsid w:val="00C55297"/>
    <w:rsid w:val="00D14910"/>
    <w:rsid w:val="00D35441"/>
    <w:rsid w:val="00D64ECC"/>
    <w:rsid w:val="00D85794"/>
    <w:rsid w:val="00D91837"/>
    <w:rsid w:val="00DA345B"/>
    <w:rsid w:val="00DB5F4A"/>
    <w:rsid w:val="00DE04A1"/>
    <w:rsid w:val="00DF4D38"/>
    <w:rsid w:val="00EA00DA"/>
    <w:rsid w:val="00F010C8"/>
    <w:rsid w:val="00F31231"/>
    <w:rsid w:val="00F50ADB"/>
    <w:rsid w:val="00F67DA4"/>
    <w:rsid w:val="00F9416E"/>
    <w:rsid w:val="00FB2B39"/>
    <w:rsid w:val="00FF4097"/>
    <w:rsid w:val="77BE2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39"/>
    <w:pPr>
      <w:widowControl w:val="0"/>
      <w:jc w:val="both"/>
    </w:pPr>
    <w:rPr>
      <w:kern w:val="2"/>
      <w:sz w:val="21"/>
      <w:szCs w:val="22"/>
    </w:rPr>
  </w:style>
  <w:style w:type="character" w:default="1" w:styleId="a0">
    <w:name w:val="Default Paragraph Font"/>
    <w:uiPriority w:val="1"/>
    <w:semiHidden/>
    <w:unhideWhenUsed/>
    <w:rsid w:val="00FB2B3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FB2B39"/>
  </w:style>
  <w:style w:type="paragraph" w:styleId="a3">
    <w:name w:val="footer"/>
    <w:basedOn w:val="a"/>
    <w:link w:val="Char"/>
    <w:uiPriority w:val="99"/>
    <w:unhideWhenUsed/>
    <w:rsid w:val="00287D4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87D4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87D47"/>
    <w:pPr>
      <w:jc w:val="left"/>
    </w:pPr>
    <w:rPr>
      <w:rFonts w:eastAsia="仿宋_GB2312"/>
      <w:kern w:val="0"/>
      <w:sz w:val="24"/>
    </w:rPr>
  </w:style>
  <w:style w:type="character" w:customStyle="1" w:styleId="Char">
    <w:name w:val="页脚 Char"/>
    <w:basedOn w:val="a0"/>
    <w:link w:val="a3"/>
    <w:uiPriority w:val="99"/>
    <w:rsid w:val="00287D47"/>
    <w:rPr>
      <w:rFonts w:ascii="Calibri" w:eastAsia="宋体" w:hAnsi="Calibri" w:cs="Times New Roman"/>
      <w:sz w:val="18"/>
      <w:szCs w:val="18"/>
    </w:rPr>
  </w:style>
  <w:style w:type="paragraph" w:customStyle="1" w:styleId="1">
    <w:name w:val="列出段落1"/>
    <w:basedOn w:val="a"/>
    <w:uiPriority w:val="34"/>
    <w:qFormat/>
    <w:rsid w:val="00287D47"/>
    <w:pPr>
      <w:ind w:firstLineChars="200" w:firstLine="420"/>
    </w:pPr>
  </w:style>
  <w:style w:type="character" w:customStyle="1" w:styleId="Char0">
    <w:name w:val="页眉 Char"/>
    <w:basedOn w:val="a0"/>
    <w:link w:val="a4"/>
    <w:uiPriority w:val="99"/>
    <w:semiHidden/>
    <w:qFormat/>
    <w:rsid w:val="00287D47"/>
    <w:rPr>
      <w:rFonts w:ascii="Calibri" w:eastAsia="宋体" w:hAnsi="Calibri" w:cs="Times New Roman"/>
      <w:sz w:val="18"/>
      <w:szCs w:val="18"/>
    </w:rPr>
  </w:style>
  <w:style w:type="character" w:customStyle="1" w:styleId="font61">
    <w:name w:val="font61"/>
    <w:basedOn w:val="a0"/>
    <w:qFormat/>
    <w:rsid w:val="00287D47"/>
    <w:rPr>
      <w:rFonts w:ascii="宋体" w:eastAsia="宋体" w:hAnsi="宋体" w:cs="宋体" w:hint="eastAsia"/>
      <w:color w:val="000000"/>
      <w:sz w:val="32"/>
      <w:szCs w:val="3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72</cp:revision>
  <cp:lastPrinted>2021-04-21T01:29:00Z</cp:lastPrinted>
  <dcterms:created xsi:type="dcterms:W3CDTF">2021-04-14T00:31:00Z</dcterms:created>
  <dcterms:modified xsi:type="dcterms:W3CDTF">2021-04-21T02:00:00Z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